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12B80" w14:textId="77777777" w:rsidR="00491AD6" w:rsidRPr="003B30B6" w:rsidRDefault="00491AD6" w:rsidP="00491AD6">
      <w:pPr>
        <w:pStyle w:val="Naslov"/>
        <w:jc w:val="left"/>
        <w:rPr>
          <w:szCs w:val="28"/>
        </w:rPr>
      </w:pPr>
      <w:r w:rsidRPr="003B30B6">
        <w:rPr>
          <w:szCs w:val="28"/>
        </w:rPr>
        <w:t>Državni proračun Republike Hrvatske</w:t>
      </w:r>
    </w:p>
    <w:p w14:paraId="4A3E9967" w14:textId="77777777" w:rsidR="00491AD6" w:rsidRPr="003B30B6" w:rsidRDefault="00491AD6" w:rsidP="00491AD6">
      <w:pPr>
        <w:pStyle w:val="Naslov"/>
        <w:jc w:val="left"/>
        <w:rPr>
          <w:szCs w:val="28"/>
        </w:rPr>
      </w:pPr>
      <w:r w:rsidRPr="003B30B6">
        <w:rPr>
          <w:szCs w:val="28"/>
        </w:rPr>
        <w:t xml:space="preserve">Katančićeva 5 </w:t>
      </w:r>
    </w:p>
    <w:p w14:paraId="5E8FDE55" w14:textId="77777777" w:rsidR="00491AD6" w:rsidRPr="003B30B6" w:rsidRDefault="00491AD6" w:rsidP="00491AD6">
      <w:pPr>
        <w:pStyle w:val="Naslov"/>
        <w:jc w:val="left"/>
        <w:rPr>
          <w:szCs w:val="28"/>
        </w:rPr>
      </w:pPr>
      <w:r w:rsidRPr="003B30B6">
        <w:rPr>
          <w:szCs w:val="28"/>
        </w:rPr>
        <w:t>10000 Zagreb</w:t>
      </w:r>
    </w:p>
    <w:p w14:paraId="50513B85" w14:textId="77777777" w:rsidR="00491AD6" w:rsidRPr="003B30B6" w:rsidRDefault="00491AD6" w:rsidP="00491AD6">
      <w:pPr>
        <w:pStyle w:val="Naslov"/>
        <w:jc w:val="left"/>
        <w:rPr>
          <w:szCs w:val="28"/>
        </w:rPr>
      </w:pPr>
      <w:r w:rsidRPr="003B30B6">
        <w:rPr>
          <w:szCs w:val="28"/>
        </w:rPr>
        <w:t xml:space="preserve">Žiro račun: </w:t>
      </w:r>
      <w:r w:rsidRPr="003B30B6">
        <w:rPr>
          <w:rStyle w:val="Naglaeno"/>
        </w:rPr>
        <w:t>HR1210010051863000160</w:t>
      </w:r>
    </w:p>
    <w:p w14:paraId="57653295" w14:textId="77777777" w:rsidR="00491AD6" w:rsidRPr="003B30B6" w:rsidRDefault="00491AD6" w:rsidP="00491AD6">
      <w:pPr>
        <w:pStyle w:val="Naslov"/>
      </w:pPr>
    </w:p>
    <w:p w14:paraId="2121707B" w14:textId="77777777" w:rsidR="00A6340F" w:rsidRDefault="00491AD6" w:rsidP="00491AD6">
      <w:pPr>
        <w:pStyle w:val="Naslov"/>
        <w:ind w:left="567" w:right="567"/>
        <w:outlineLvl w:val="0"/>
      </w:pPr>
      <w:r w:rsidRPr="003B30B6">
        <w:t>BILJEŠKE UZ FINANCIJSKE IZVJEŠTAJE ZA RAZDOBLJE</w:t>
      </w:r>
      <w:r w:rsidR="007D71BC">
        <w:t xml:space="preserve"> </w:t>
      </w:r>
    </w:p>
    <w:p w14:paraId="60527317" w14:textId="06E88420" w:rsidR="00491AD6" w:rsidRPr="003B30B6" w:rsidRDefault="007D71BC" w:rsidP="00491AD6">
      <w:pPr>
        <w:pStyle w:val="Naslov"/>
        <w:ind w:left="567" w:right="567"/>
        <w:outlineLvl w:val="0"/>
      </w:pPr>
      <w:r>
        <w:t>1. SIJEČNJA – 31. PROSINCA 2021</w:t>
      </w:r>
      <w:r w:rsidR="00491AD6" w:rsidRPr="003B30B6">
        <w:t>.</w:t>
      </w:r>
    </w:p>
    <w:p w14:paraId="561627F3" w14:textId="77777777" w:rsidR="00491AD6" w:rsidRPr="003B30B6" w:rsidRDefault="00491AD6" w:rsidP="00491AD6">
      <w:pPr>
        <w:rPr>
          <w:b/>
          <w:bCs/>
        </w:rPr>
      </w:pPr>
    </w:p>
    <w:p w14:paraId="2B077304" w14:textId="77777777" w:rsidR="00491AD6" w:rsidRPr="00F4732E" w:rsidRDefault="00491AD6" w:rsidP="00491AD6">
      <w:pPr>
        <w:pStyle w:val="Naslov1"/>
      </w:pPr>
      <w:r w:rsidRPr="00F4732E">
        <w:t>Zakonski okvir</w:t>
      </w:r>
    </w:p>
    <w:p w14:paraId="57D41CD8" w14:textId="77777777" w:rsidR="00491AD6" w:rsidRPr="00F4732E" w:rsidRDefault="00491AD6" w:rsidP="00491AD6"/>
    <w:p w14:paraId="7F6373BD" w14:textId="77777777" w:rsidR="00491AD6" w:rsidRPr="00F4732E" w:rsidRDefault="00491AD6" w:rsidP="009F1B2E">
      <w:pPr>
        <w:numPr>
          <w:ilvl w:val="0"/>
          <w:numId w:val="1"/>
        </w:numPr>
        <w:jc w:val="both"/>
      </w:pPr>
      <w:r w:rsidRPr="00F4732E">
        <w:t>Zakon o proračunu (Narodne novine, br. 87/08, 136/12 i 15/15)</w:t>
      </w:r>
    </w:p>
    <w:p w14:paraId="255C21BB" w14:textId="069C9C2C" w:rsidR="00491AD6" w:rsidRPr="00F4732E" w:rsidRDefault="00491AD6" w:rsidP="009F1B2E">
      <w:pPr>
        <w:numPr>
          <w:ilvl w:val="0"/>
          <w:numId w:val="1"/>
        </w:numPr>
        <w:jc w:val="both"/>
      </w:pPr>
      <w:r w:rsidRPr="00F4732E">
        <w:t>Zakon o izvršavanju Državnog pror</w:t>
      </w:r>
      <w:r w:rsidR="007D71BC" w:rsidRPr="00F4732E">
        <w:t>ačuna Republike Hrvatske za 2021</w:t>
      </w:r>
      <w:r w:rsidRPr="00F4732E">
        <w:t xml:space="preserve">. </w:t>
      </w:r>
      <w:bookmarkStart w:id="0" w:name="OLE_LINK3"/>
      <w:r w:rsidRPr="00F4732E">
        <w:t>(Narodne novine, br.</w:t>
      </w:r>
      <w:bookmarkEnd w:id="0"/>
      <w:r w:rsidRPr="00F4732E">
        <w:t xml:space="preserve"> </w:t>
      </w:r>
      <w:r w:rsidR="007D71BC" w:rsidRPr="00F4732E">
        <w:t>135/20, 69/21, 122/21</w:t>
      </w:r>
      <w:r w:rsidRPr="00F4732E">
        <w:t>)</w:t>
      </w:r>
    </w:p>
    <w:p w14:paraId="5A86D760" w14:textId="77777777" w:rsidR="00491AD6" w:rsidRPr="00F4732E" w:rsidRDefault="00491AD6" w:rsidP="009F1B2E">
      <w:pPr>
        <w:numPr>
          <w:ilvl w:val="0"/>
          <w:numId w:val="1"/>
        </w:numPr>
        <w:jc w:val="both"/>
      </w:pPr>
      <w:r w:rsidRPr="00F4732E">
        <w:t>Pravilnik o proračunskom računovodstvu i računskom planu (Narodne novine, br. 124/14, 115/15, 87/16, 3/18, 126/19 i 108/20)</w:t>
      </w:r>
    </w:p>
    <w:p w14:paraId="020172EB" w14:textId="5E60B03E" w:rsidR="00491AD6" w:rsidRPr="00F4732E" w:rsidRDefault="00491AD6" w:rsidP="009F1B2E">
      <w:pPr>
        <w:numPr>
          <w:ilvl w:val="0"/>
          <w:numId w:val="1"/>
        </w:numPr>
        <w:jc w:val="both"/>
      </w:pPr>
      <w:r w:rsidRPr="00F4732E">
        <w:t>Pravilnik o financijskom izvještavanju u proračunskom računovodstvu (Narodne novine, br. 03/15, 93/15, 135/15, 2/17, 28/17, 112/18</w:t>
      </w:r>
      <w:r w:rsidR="0060052D" w:rsidRPr="00F4732E">
        <w:t>,</w:t>
      </w:r>
      <w:r w:rsidRPr="00F4732E">
        <w:t xml:space="preserve"> 126/19</w:t>
      </w:r>
      <w:r w:rsidR="007D71BC" w:rsidRPr="00F4732E">
        <w:t>,</w:t>
      </w:r>
      <w:r w:rsidR="0060052D" w:rsidRPr="00F4732E">
        <w:t xml:space="preserve"> 145/20</w:t>
      </w:r>
      <w:r w:rsidR="007D71BC" w:rsidRPr="00F4732E">
        <w:t xml:space="preserve"> i 32/21</w:t>
      </w:r>
      <w:r w:rsidRPr="00F4732E">
        <w:t>)</w:t>
      </w:r>
    </w:p>
    <w:p w14:paraId="0CA24A36" w14:textId="77777777" w:rsidR="00491AD6" w:rsidRPr="00F4732E" w:rsidRDefault="00491AD6" w:rsidP="009F1B2E">
      <w:pPr>
        <w:numPr>
          <w:ilvl w:val="0"/>
          <w:numId w:val="1"/>
        </w:numPr>
        <w:jc w:val="both"/>
      </w:pPr>
      <w:r w:rsidRPr="00F4732E">
        <w:t xml:space="preserve">Pravilnik o proračunskim klasifikacijama (Narodne novine, br. 6/10, 120/13 i 01/20) </w:t>
      </w:r>
    </w:p>
    <w:p w14:paraId="4905ACDF" w14:textId="77777777" w:rsidR="00491AD6" w:rsidRPr="003B30B6" w:rsidRDefault="00491AD6" w:rsidP="00491AD6">
      <w:pPr>
        <w:rPr>
          <w:b/>
          <w:bCs/>
          <w:sz w:val="28"/>
        </w:rPr>
      </w:pPr>
    </w:p>
    <w:p w14:paraId="79C5BAC5" w14:textId="77777777" w:rsidR="00491AD6" w:rsidRPr="003B30B6" w:rsidRDefault="00491AD6" w:rsidP="00491AD6">
      <w:pPr>
        <w:pStyle w:val="Naslov1"/>
      </w:pPr>
      <w:r w:rsidRPr="003B30B6">
        <w:t>BILJEŠKE UZ IZVJEŠTAJ O PRIHODIMA I RASHODIMA, PRIMICIMA I IZDACIMA</w:t>
      </w:r>
    </w:p>
    <w:p w14:paraId="319B0B55" w14:textId="77777777" w:rsidR="00491AD6" w:rsidRPr="003B30B6" w:rsidRDefault="00491AD6" w:rsidP="00491AD6">
      <w:pPr>
        <w:rPr>
          <w:b/>
          <w:bCs/>
        </w:rPr>
      </w:pPr>
    </w:p>
    <w:p w14:paraId="240E87C9" w14:textId="77777777" w:rsidR="00491AD6" w:rsidRPr="00F4732E" w:rsidRDefault="00491AD6" w:rsidP="00491AD6">
      <w:pPr>
        <w:pStyle w:val="Naslov"/>
        <w:rPr>
          <w:b w:val="0"/>
          <w:bCs w:val="0"/>
        </w:rPr>
      </w:pPr>
      <w:r w:rsidRPr="00F4732E">
        <w:rPr>
          <w:b w:val="0"/>
          <w:bCs w:val="0"/>
        </w:rPr>
        <w:t xml:space="preserve">Bilješka 1. </w:t>
      </w:r>
    </w:p>
    <w:p w14:paraId="5C7BDD92" w14:textId="775D45A3" w:rsidR="00491AD6" w:rsidRPr="00F4732E" w:rsidRDefault="00491AD6" w:rsidP="00491AD6">
      <w:pPr>
        <w:pStyle w:val="Tijeloteksta"/>
      </w:pPr>
      <w:r w:rsidRPr="00F4732E">
        <w:t xml:space="preserve">Izvještaj o prihodima i rashodima, primicima i izdacima sastavljen je za razdoblje </w:t>
      </w:r>
      <w:r w:rsidR="007D71BC" w:rsidRPr="00F4732E">
        <w:t>1. siječnja do 31. prosinca 2021</w:t>
      </w:r>
      <w:r w:rsidRPr="00F4732E">
        <w:t>. i uključuje prihode i primitke, rashode i izdatke Državnog proračuna</w:t>
      </w:r>
      <w:r w:rsidR="0060052D" w:rsidRPr="00F4732E">
        <w:t>, bez prihoda i primitaka, rashoda i izdataka proračunskih korisnika državnog proračuna</w:t>
      </w:r>
      <w:r w:rsidRPr="00F4732E">
        <w:t xml:space="preserve">. </w:t>
      </w:r>
    </w:p>
    <w:p w14:paraId="16F002AF" w14:textId="77777777" w:rsidR="00491AD6" w:rsidRPr="00F4732E" w:rsidRDefault="00491AD6" w:rsidP="00491AD6">
      <w:pPr>
        <w:pStyle w:val="Tijeloteksta"/>
      </w:pPr>
      <w:r w:rsidRPr="00F4732E">
        <w:t xml:space="preserve">Podaci za popunjavanje financijskih izvještaja dobivaju se iz Glavne knjige proračuna koju informatički podržava SAP sustav. </w:t>
      </w:r>
    </w:p>
    <w:p w14:paraId="10A3A27C" w14:textId="77777777" w:rsidR="00491AD6" w:rsidRPr="00F4732E" w:rsidRDefault="00491AD6" w:rsidP="00491AD6">
      <w:pPr>
        <w:pStyle w:val="Tijeloteksta"/>
      </w:pPr>
    </w:p>
    <w:p w14:paraId="709D1748" w14:textId="77777777" w:rsidR="00491AD6" w:rsidRPr="00F4732E" w:rsidRDefault="00491AD6" w:rsidP="00491AD6">
      <w:pPr>
        <w:pStyle w:val="Tijeloteksta"/>
      </w:pPr>
      <w:r w:rsidRPr="00F4732E">
        <w:t xml:space="preserve">Poslovanje Državnog proračuna obavlja se preko jedinstvenog računa riznice u HNB broj: HR1210010051863000160 za kunsko poslovanje i deviznih računa u poslovnim bankama. </w:t>
      </w:r>
    </w:p>
    <w:p w14:paraId="559313C0" w14:textId="77777777" w:rsidR="00491AD6" w:rsidRPr="00F4732E" w:rsidRDefault="00491AD6" w:rsidP="00491AD6">
      <w:pPr>
        <w:pStyle w:val="Tijeloteksta"/>
        <w:rPr>
          <w:b/>
          <w:bCs/>
        </w:rPr>
      </w:pPr>
    </w:p>
    <w:p w14:paraId="06698A7D" w14:textId="77777777" w:rsidR="00491AD6" w:rsidRPr="00F4732E" w:rsidRDefault="00491AD6" w:rsidP="00491AD6">
      <w:pPr>
        <w:pStyle w:val="Naslov"/>
        <w:rPr>
          <w:b w:val="0"/>
          <w:bCs w:val="0"/>
        </w:rPr>
      </w:pPr>
      <w:r w:rsidRPr="00F4732E">
        <w:rPr>
          <w:b w:val="0"/>
          <w:bCs w:val="0"/>
        </w:rPr>
        <w:t>Bilješka 2.</w:t>
      </w:r>
    </w:p>
    <w:p w14:paraId="19F299CE" w14:textId="77777777" w:rsidR="00491AD6" w:rsidRPr="00F4732E" w:rsidRDefault="00491AD6" w:rsidP="00491AD6">
      <w:pPr>
        <w:pStyle w:val="Tijeloteksta"/>
        <w:jc w:val="left"/>
      </w:pPr>
    </w:p>
    <w:p w14:paraId="0B0336C0" w14:textId="77777777" w:rsidR="00491AD6" w:rsidRPr="00F4732E" w:rsidRDefault="00491AD6" w:rsidP="00491AD6">
      <w:pPr>
        <w:pStyle w:val="Tijeloteksta"/>
        <w:jc w:val="left"/>
      </w:pPr>
      <w:r w:rsidRPr="00F4732E">
        <w:t>U obrascu PR-RAS iskazani su:</w:t>
      </w:r>
    </w:p>
    <w:tbl>
      <w:tblPr>
        <w:tblW w:w="935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88"/>
        <w:gridCol w:w="2268"/>
      </w:tblGrid>
      <w:tr w:rsidR="00491AD6" w:rsidRPr="00F4732E" w14:paraId="524C09EF" w14:textId="77777777" w:rsidTr="00567EE9">
        <w:trPr>
          <w:trHeight w:val="340"/>
        </w:trPr>
        <w:tc>
          <w:tcPr>
            <w:tcW w:w="7088" w:type="dxa"/>
            <w:shd w:val="clear" w:color="auto" w:fill="auto"/>
            <w:vAlign w:val="center"/>
          </w:tcPr>
          <w:p w14:paraId="15581F19" w14:textId="77777777" w:rsidR="00491AD6" w:rsidRPr="00F4732E" w:rsidRDefault="00491AD6" w:rsidP="009F1B2E">
            <w:pPr>
              <w:pStyle w:val="Tijeloteksta"/>
              <w:numPr>
                <w:ilvl w:val="0"/>
                <w:numId w:val="7"/>
              </w:numPr>
              <w:ind w:left="459"/>
              <w:jc w:val="left"/>
            </w:pPr>
            <w:bookmarkStart w:id="1" w:name="_Hlk382850900"/>
            <w:r w:rsidRPr="00F4732E">
              <w:t>ukupni prihodi poslovanja (AOP 001)</w:t>
            </w:r>
          </w:p>
        </w:tc>
        <w:tc>
          <w:tcPr>
            <w:tcW w:w="2268" w:type="dxa"/>
            <w:shd w:val="clear" w:color="auto" w:fill="auto"/>
            <w:vAlign w:val="center"/>
          </w:tcPr>
          <w:p w14:paraId="70ADB029" w14:textId="04653E01" w:rsidR="00491AD6" w:rsidRPr="00F4732E" w:rsidRDefault="00B00511" w:rsidP="00567EE9">
            <w:pPr>
              <w:pStyle w:val="Tijeloteksta"/>
              <w:jc w:val="right"/>
            </w:pPr>
            <w:r w:rsidRPr="00F4732E">
              <w:t>92.725.714.195</w:t>
            </w:r>
          </w:p>
        </w:tc>
      </w:tr>
      <w:tr w:rsidR="00491AD6" w:rsidRPr="00F4732E" w14:paraId="62E252A8" w14:textId="77777777" w:rsidTr="00567EE9">
        <w:trPr>
          <w:trHeight w:val="340"/>
        </w:trPr>
        <w:tc>
          <w:tcPr>
            <w:tcW w:w="7088" w:type="dxa"/>
            <w:shd w:val="clear" w:color="auto" w:fill="auto"/>
            <w:vAlign w:val="center"/>
          </w:tcPr>
          <w:p w14:paraId="4A25E52C" w14:textId="482C6CD4" w:rsidR="00491AD6" w:rsidRPr="00F4732E" w:rsidRDefault="00491AD6" w:rsidP="009F1B2E">
            <w:pPr>
              <w:pStyle w:val="Tijeloteksta"/>
              <w:numPr>
                <w:ilvl w:val="0"/>
                <w:numId w:val="7"/>
              </w:numPr>
              <w:ind w:left="459"/>
              <w:jc w:val="left"/>
            </w:pPr>
            <w:r w:rsidRPr="00F4732E">
              <w:t>uk</w:t>
            </w:r>
            <w:r w:rsidR="00B00511" w:rsidRPr="00F4732E">
              <w:t>upni rashodi poslovanja (AOP 146</w:t>
            </w:r>
            <w:r w:rsidRPr="00F4732E">
              <w:t xml:space="preserve">) </w:t>
            </w:r>
          </w:p>
        </w:tc>
        <w:tc>
          <w:tcPr>
            <w:tcW w:w="2268" w:type="dxa"/>
            <w:shd w:val="clear" w:color="auto" w:fill="auto"/>
            <w:vAlign w:val="center"/>
          </w:tcPr>
          <w:p w14:paraId="2AD5B089" w14:textId="6E8043DA" w:rsidR="00491AD6" w:rsidRPr="00F4732E" w:rsidRDefault="00B00511" w:rsidP="00AC41D6">
            <w:pPr>
              <w:pStyle w:val="Tijeloteksta"/>
              <w:jc w:val="right"/>
            </w:pPr>
            <w:r w:rsidRPr="00F4732E">
              <w:t>109.109.632.595</w:t>
            </w:r>
          </w:p>
        </w:tc>
      </w:tr>
      <w:tr w:rsidR="00491AD6" w:rsidRPr="00F4732E" w14:paraId="561B167C" w14:textId="77777777" w:rsidTr="00567EE9">
        <w:trPr>
          <w:trHeight w:val="340"/>
        </w:trPr>
        <w:tc>
          <w:tcPr>
            <w:tcW w:w="7088" w:type="dxa"/>
            <w:shd w:val="clear" w:color="auto" w:fill="auto"/>
            <w:vAlign w:val="center"/>
          </w:tcPr>
          <w:p w14:paraId="1F89DD89" w14:textId="5D4386DC" w:rsidR="00491AD6" w:rsidRPr="00F4732E" w:rsidRDefault="00491AD6" w:rsidP="00567EE9">
            <w:pPr>
              <w:pStyle w:val="Tijeloteksta"/>
              <w:ind w:firstLine="1026"/>
              <w:jc w:val="left"/>
              <w:rPr>
                <w:b/>
                <w:bCs/>
                <w:i/>
                <w:iCs/>
              </w:rPr>
            </w:pPr>
            <w:r w:rsidRPr="00F4732E">
              <w:rPr>
                <w:b/>
                <w:bCs/>
                <w:i/>
                <w:iCs/>
              </w:rPr>
              <w:t>ma</w:t>
            </w:r>
            <w:r w:rsidR="00B00511" w:rsidRPr="00F4732E">
              <w:rPr>
                <w:b/>
                <w:bCs/>
                <w:i/>
                <w:iCs/>
              </w:rPr>
              <w:t>njak prihoda poslovanja (AOP 286</w:t>
            </w:r>
            <w:r w:rsidRPr="00F4732E">
              <w:rPr>
                <w:b/>
                <w:bCs/>
                <w:i/>
                <w:iCs/>
              </w:rPr>
              <w:t>)</w:t>
            </w:r>
          </w:p>
        </w:tc>
        <w:tc>
          <w:tcPr>
            <w:tcW w:w="2268" w:type="dxa"/>
            <w:shd w:val="clear" w:color="auto" w:fill="auto"/>
            <w:vAlign w:val="center"/>
          </w:tcPr>
          <w:p w14:paraId="070496D5" w14:textId="68F468A1" w:rsidR="00491AD6" w:rsidRPr="00F4732E" w:rsidRDefault="00B00511" w:rsidP="00567EE9">
            <w:pPr>
              <w:pStyle w:val="Tijeloteksta"/>
              <w:jc w:val="right"/>
              <w:rPr>
                <w:b/>
                <w:bCs/>
                <w:i/>
                <w:iCs/>
              </w:rPr>
            </w:pPr>
            <w:r w:rsidRPr="00F4732E">
              <w:rPr>
                <w:b/>
                <w:bCs/>
                <w:i/>
                <w:iCs/>
              </w:rPr>
              <w:t>16.383.918.400</w:t>
            </w:r>
          </w:p>
        </w:tc>
      </w:tr>
      <w:tr w:rsidR="00491AD6" w:rsidRPr="00F4732E" w14:paraId="276A42A5" w14:textId="77777777" w:rsidTr="00567EE9">
        <w:trPr>
          <w:trHeight w:val="340"/>
        </w:trPr>
        <w:tc>
          <w:tcPr>
            <w:tcW w:w="7088" w:type="dxa"/>
            <w:shd w:val="clear" w:color="auto" w:fill="auto"/>
            <w:vAlign w:val="center"/>
          </w:tcPr>
          <w:p w14:paraId="683A7A39" w14:textId="3CD33D9E" w:rsidR="00491AD6" w:rsidRPr="00F4732E" w:rsidRDefault="00491AD6" w:rsidP="009F1B2E">
            <w:pPr>
              <w:pStyle w:val="Tijeloteksta"/>
              <w:numPr>
                <w:ilvl w:val="0"/>
                <w:numId w:val="7"/>
              </w:numPr>
              <w:ind w:left="459"/>
              <w:jc w:val="left"/>
            </w:pPr>
            <w:r w:rsidRPr="00F4732E">
              <w:t>ukupni prihodi od prodaj</w:t>
            </w:r>
            <w:r w:rsidR="00B00511" w:rsidRPr="00F4732E">
              <w:t>e nefinancijske imovine (AOP 292</w:t>
            </w:r>
            <w:r w:rsidRPr="00F4732E">
              <w:t>)</w:t>
            </w:r>
          </w:p>
        </w:tc>
        <w:tc>
          <w:tcPr>
            <w:tcW w:w="2268" w:type="dxa"/>
            <w:shd w:val="clear" w:color="auto" w:fill="auto"/>
            <w:vAlign w:val="center"/>
          </w:tcPr>
          <w:p w14:paraId="266FBB1E" w14:textId="2E897B6D" w:rsidR="00491AD6" w:rsidRPr="00F4732E" w:rsidRDefault="00C47688" w:rsidP="00567EE9">
            <w:pPr>
              <w:pStyle w:val="Tijeloteksta"/>
              <w:jc w:val="right"/>
            </w:pPr>
            <w:r w:rsidRPr="00F4732E">
              <w:t>315.139.894</w:t>
            </w:r>
          </w:p>
        </w:tc>
      </w:tr>
      <w:tr w:rsidR="00491AD6" w:rsidRPr="00F4732E" w14:paraId="3FCDFC81" w14:textId="77777777" w:rsidTr="00567EE9">
        <w:trPr>
          <w:trHeight w:val="340"/>
        </w:trPr>
        <w:tc>
          <w:tcPr>
            <w:tcW w:w="7088" w:type="dxa"/>
            <w:shd w:val="clear" w:color="auto" w:fill="auto"/>
            <w:vAlign w:val="center"/>
          </w:tcPr>
          <w:p w14:paraId="328B7821" w14:textId="31C3722B" w:rsidR="00491AD6" w:rsidRPr="00F4732E" w:rsidRDefault="00491AD6" w:rsidP="009F1B2E">
            <w:pPr>
              <w:pStyle w:val="Tijeloteksta"/>
              <w:numPr>
                <w:ilvl w:val="0"/>
                <w:numId w:val="7"/>
              </w:numPr>
              <w:ind w:left="459"/>
              <w:jc w:val="left"/>
            </w:pPr>
            <w:r w:rsidRPr="00F4732E">
              <w:t>ukupni rashodi za nabav</w:t>
            </w:r>
            <w:r w:rsidR="00C47688" w:rsidRPr="00F4732E">
              <w:t>u nefinancijske imovine (AOP 344</w:t>
            </w:r>
            <w:r w:rsidRPr="00F4732E">
              <w:t>)</w:t>
            </w:r>
          </w:p>
        </w:tc>
        <w:tc>
          <w:tcPr>
            <w:tcW w:w="2268" w:type="dxa"/>
            <w:shd w:val="clear" w:color="auto" w:fill="auto"/>
            <w:vAlign w:val="center"/>
          </w:tcPr>
          <w:p w14:paraId="2B8C48B4" w14:textId="32B8FEAE" w:rsidR="00491AD6" w:rsidRPr="00F4732E" w:rsidRDefault="00C47688" w:rsidP="00567EE9">
            <w:pPr>
              <w:pStyle w:val="Tijeloteksta"/>
              <w:jc w:val="right"/>
            </w:pPr>
            <w:r w:rsidRPr="00F4732E">
              <w:t>86.352.583</w:t>
            </w:r>
          </w:p>
        </w:tc>
      </w:tr>
      <w:tr w:rsidR="00491AD6" w:rsidRPr="00F4732E" w14:paraId="0F2B8F34" w14:textId="77777777" w:rsidTr="00567EE9">
        <w:trPr>
          <w:trHeight w:val="340"/>
        </w:trPr>
        <w:tc>
          <w:tcPr>
            <w:tcW w:w="7088" w:type="dxa"/>
            <w:shd w:val="clear" w:color="auto" w:fill="auto"/>
            <w:vAlign w:val="center"/>
          </w:tcPr>
          <w:p w14:paraId="5C5CB5E8" w14:textId="7069039E" w:rsidR="00491AD6" w:rsidRPr="00F4732E" w:rsidRDefault="00491AD6" w:rsidP="00567EE9">
            <w:pPr>
              <w:pStyle w:val="Tijeloteksta"/>
              <w:ind w:firstLine="1026"/>
              <w:jc w:val="left"/>
              <w:rPr>
                <w:b/>
                <w:bCs/>
                <w:i/>
                <w:iCs/>
              </w:rPr>
            </w:pPr>
            <w:r w:rsidRPr="00F4732E">
              <w:rPr>
                <w:b/>
                <w:bCs/>
                <w:i/>
                <w:iCs/>
              </w:rPr>
              <w:t>višak prihoda o</w:t>
            </w:r>
            <w:r w:rsidR="00C47688" w:rsidRPr="00F4732E">
              <w:rPr>
                <w:b/>
                <w:bCs/>
                <w:i/>
                <w:iCs/>
              </w:rPr>
              <w:t>d nefinancijske imovine (AOP 401</w:t>
            </w:r>
            <w:r w:rsidRPr="00F4732E">
              <w:rPr>
                <w:b/>
                <w:bCs/>
                <w:i/>
                <w:iCs/>
              </w:rPr>
              <w:t>)</w:t>
            </w:r>
          </w:p>
        </w:tc>
        <w:tc>
          <w:tcPr>
            <w:tcW w:w="2268" w:type="dxa"/>
            <w:shd w:val="clear" w:color="auto" w:fill="auto"/>
            <w:vAlign w:val="center"/>
          </w:tcPr>
          <w:p w14:paraId="6BBB6556" w14:textId="1C078363" w:rsidR="00491AD6" w:rsidRPr="00F4732E" w:rsidRDefault="00C47688" w:rsidP="00567EE9">
            <w:pPr>
              <w:pStyle w:val="Tijeloteksta"/>
              <w:jc w:val="right"/>
              <w:rPr>
                <w:b/>
                <w:bCs/>
                <w:i/>
                <w:iCs/>
              </w:rPr>
            </w:pPr>
            <w:r w:rsidRPr="00F4732E">
              <w:rPr>
                <w:b/>
                <w:bCs/>
                <w:i/>
                <w:iCs/>
              </w:rPr>
              <w:t>228.787.311</w:t>
            </w:r>
          </w:p>
        </w:tc>
      </w:tr>
      <w:tr w:rsidR="00491AD6" w:rsidRPr="00F4732E" w14:paraId="675EAD86" w14:textId="77777777" w:rsidTr="00567EE9">
        <w:trPr>
          <w:trHeight w:val="340"/>
        </w:trPr>
        <w:tc>
          <w:tcPr>
            <w:tcW w:w="7088" w:type="dxa"/>
            <w:shd w:val="clear" w:color="auto" w:fill="auto"/>
            <w:vAlign w:val="center"/>
          </w:tcPr>
          <w:p w14:paraId="15217437" w14:textId="4A0A26E0" w:rsidR="00491AD6" w:rsidRPr="00F4732E" w:rsidRDefault="00491AD6" w:rsidP="009F1B2E">
            <w:pPr>
              <w:pStyle w:val="Tijeloteksta"/>
              <w:numPr>
                <w:ilvl w:val="0"/>
                <w:numId w:val="7"/>
              </w:numPr>
              <w:ind w:left="459"/>
              <w:jc w:val="left"/>
            </w:pPr>
            <w:r w:rsidRPr="00F4732E">
              <w:t>ukupni primici od financijsk</w:t>
            </w:r>
            <w:r w:rsidR="00C47688" w:rsidRPr="00F4732E">
              <w:t>e imovine i zaduživanja (AOP 413</w:t>
            </w:r>
            <w:r w:rsidRPr="00F4732E">
              <w:t>)</w:t>
            </w:r>
          </w:p>
        </w:tc>
        <w:tc>
          <w:tcPr>
            <w:tcW w:w="2268" w:type="dxa"/>
            <w:shd w:val="clear" w:color="auto" w:fill="auto"/>
            <w:vAlign w:val="center"/>
          </w:tcPr>
          <w:p w14:paraId="3F742FE8" w14:textId="3D2E08B0" w:rsidR="00491AD6" w:rsidRPr="00F4732E" w:rsidRDefault="00C47688" w:rsidP="00567EE9">
            <w:pPr>
              <w:pStyle w:val="Tijeloteksta"/>
              <w:jc w:val="right"/>
            </w:pPr>
            <w:r w:rsidRPr="00F4732E">
              <w:t>37.850.895.422</w:t>
            </w:r>
          </w:p>
        </w:tc>
      </w:tr>
      <w:tr w:rsidR="00491AD6" w:rsidRPr="00F4732E" w14:paraId="27A4DF7A" w14:textId="77777777" w:rsidTr="00567EE9">
        <w:trPr>
          <w:trHeight w:val="340"/>
        </w:trPr>
        <w:tc>
          <w:tcPr>
            <w:tcW w:w="7088" w:type="dxa"/>
            <w:shd w:val="clear" w:color="auto" w:fill="auto"/>
            <w:vAlign w:val="center"/>
          </w:tcPr>
          <w:p w14:paraId="3633CA24" w14:textId="1FC92195" w:rsidR="00491AD6" w:rsidRPr="00F4732E" w:rsidRDefault="00491AD6" w:rsidP="009F1B2E">
            <w:pPr>
              <w:pStyle w:val="Tijeloteksta"/>
              <w:numPr>
                <w:ilvl w:val="0"/>
                <w:numId w:val="7"/>
              </w:numPr>
              <w:ind w:left="459"/>
              <w:jc w:val="left"/>
            </w:pPr>
            <w:r w:rsidRPr="00F4732E">
              <w:t>ukupni izdaci za financijsku im</w:t>
            </w:r>
            <w:r w:rsidR="00C47688" w:rsidRPr="00F4732E">
              <w:t>ovinu i otplate zajmova (AOP 521</w:t>
            </w:r>
            <w:r w:rsidRPr="00F4732E">
              <w:t>)</w:t>
            </w:r>
          </w:p>
        </w:tc>
        <w:tc>
          <w:tcPr>
            <w:tcW w:w="2268" w:type="dxa"/>
            <w:shd w:val="clear" w:color="auto" w:fill="auto"/>
            <w:vAlign w:val="center"/>
          </w:tcPr>
          <w:p w14:paraId="7BDEA675" w14:textId="64046545" w:rsidR="00491AD6" w:rsidRPr="00F4732E" w:rsidRDefault="001109D4" w:rsidP="00AC41D6">
            <w:pPr>
              <w:pStyle w:val="Tijeloteksta"/>
              <w:jc w:val="right"/>
            </w:pPr>
            <w:r w:rsidRPr="00F4732E">
              <w:t>22.246.566.827</w:t>
            </w:r>
          </w:p>
        </w:tc>
      </w:tr>
      <w:tr w:rsidR="00491AD6" w:rsidRPr="00F4732E" w14:paraId="59327D02" w14:textId="77777777" w:rsidTr="00567EE9">
        <w:trPr>
          <w:trHeight w:val="340"/>
        </w:trPr>
        <w:tc>
          <w:tcPr>
            <w:tcW w:w="7088" w:type="dxa"/>
            <w:shd w:val="clear" w:color="auto" w:fill="auto"/>
            <w:vAlign w:val="center"/>
          </w:tcPr>
          <w:p w14:paraId="7B1E004B" w14:textId="717A3FF6" w:rsidR="00491AD6" w:rsidRPr="00F4732E" w:rsidRDefault="001109D4" w:rsidP="00567EE9">
            <w:pPr>
              <w:pStyle w:val="Tijeloteksta"/>
              <w:ind w:firstLine="1026"/>
              <w:jc w:val="left"/>
              <w:rPr>
                <w:b/>
                <w:bCs/>
                <w:i/>
                <w:iCs/>
              </w:rPr>
            </w:pPr>
            <w:r w:rsidRPr="00F4732E">
              <w:rPr>
                <w:b/>
                <w:bCs/>
                <w:i/>
                <w:iCs/>
              </w:rPr>
              <w:t>višak od financijske imovine (AOP 628</w:t>
            </w:r>
            <w:r w:rsidR="00491AD6" w:rsidRPr="00F4732E">
              <w:rPr>
                <w:b/>
                <w:bCs/>
                <w:i/>
                <w:iCs/>
              </w:rPr>
              <w:t xml:space="preserve">) </w:t>
            </w:r>
          </w:p>
        </w:tc>
        <w:tc>
          <w:tcPr>
            <w:tcW w:w="2268" w:type="dxa"/>
            <w:shd w:val="clear" w:color="auto" w:fill="auto"/>
            <w:vAlign w:val="center"/>
          </w:tcPr>
          <w:p w14:paraId="48FE2732" w14:textId="57449B10" w:rsidR="00491AD6" w:rsidRPr="00F4732E" w:rsidRDefault="001109D4" w:rsidP="00AC41D6">
            <w:pPr>
              <w:pStyle w:val="Tijeloteksta"/>
              <w:jc w:val="right"/>
              <w:rPr>
                <w:b/>
                <w:bCs/>
                <w:i/>
                <w:iCs/>
              </w:rPr>
            </w:pPr>
            <w:r w:rsidRPr="00F4732E">
              <w:rPr>
                <w:b/>
                <w:bCs/>
                <w:i/>
                <w:iCs/>
              </w:rPr>
              <w:t>15.586.328.595</w:t>
            </w:r>
          </w:p>
        </w:tc>
      </w:tr>
      <w:tr w:rsidR="00491AD6" w:rsidRPr="00F4732E" w14:paraId="087C8267" w14:textId="77777777" w:rsidTr="00567EE9">
        <w:trPr>
          <w:trHeight w:val="340"/>
        </w:trPr>
        <w:tc>
          <w:tcPr>
            <w:tcW w:w="7088" w:type="dxa"/>
            <w:shd w:val="clear" w:color="auto" w:fill="auto"/>
            <w:vAlign w:val="center"/>
          </w:tcPr>
          <w:p w14:paraId="00F29963" w14:textId="0269ED56" w:rsidR="00491AD6" w:rsidRPr="00F4732E" w:rsidRDefault="00C47688" w:rsidP="00567EE9">
            <w:pPr>
              <w:pStyle w:val="Tijeloteksta"/>
              <w:ind w:firstLine="1026"/>
              <w:jc w:val="left"/>
              <w:rPr>
                <w:b/>
                <w:bCs/>
                <w:i/>
                <w:iCs/>
              </w:rPr>
            </w:pPr>
            <w:r w:rsidRPr="00F4732E">
              <w:rPr>
                <w:b/>
                <w:bCs/>
                <w:i/>
                <w:iCs/>
              </w:rPr>
              <w:t>manjak</w:t>
            </w:r>
            <w:r w:rsidR="00491AD6" w:rsidRPr="00F4732E">
              <w:rPr>
                <w:b/>
                <w:bCs/>
                <w:i/>
                <w:iCs/>
              </w:rPr>
              <w:t xml:space="preserve"> prihoda i primitaka </w:t>
            </w:r>
            <w:r w:rsidRPr="00F4732E">
              <w:rPr>
                <w:b/>
                <w:bCs/>
                <w:i/>
                <w:iCs/>
              </w:rPr>
              <w:t>(AOP 635</w:t>
            </w:r>
            <w:r w:rsidR="00491AD6" w:rsidRPr="00F4732E">
              <w:rPr>
                <w:b/>
                <w:bCs/>
                <w:i/>
                <w:iCs/>
              </w:rPr>
              <w:t>)</w:t>
            </w:r>
          </w:p>
        </w:tc>
        <w:tc>
          <w:tcPr>
            <w:tcW w:w="2268" w:type="dxa"/>
            <w:shd w:val="clear" w:color="auto" w:fill="auto"/>
            <w:vAlign w:val="center"/>
          </w:tcPr>
          <w:p w14:paraId="75F30E67" w14:textId="6BCF342C" w:rsidR="00491AD6" w:rsidRPr="00F4732E" w:rsidRDefault="001109D4" w:rsidP="00567EE9">
            <w:pPr>
              <w:pStyle w:val="Tijeloteksta"/>
              <w:jc w:val="right"/>
              <w:rPr>
                <w:b/>
                <w:bCs/>
                <w:i/>
                <w:iCs/>
              </w:rPr>
            </w:pPr>
            <w:r w:rsidRPr="00F4732E">
              <w:rPr>
                <w:b/>
                <w:bCs/>
                <w:i/>
                <w:iCs/>
              </w:rPr>
              <w:t>568.802.494</w:t>
            </w:r>
          </w:p>
        </w:tc>
      </w:tr>
      <w:bookmarkEnd w:id="1"/>
    </w:tbl>
    <w:p w14:paraId="230AD616" w14:textId="77777777" w:rsidR="00C47688" w:rsidRPr="00F4732E" w:rsidRDefault="00C47688" w:rsidP="007D71BC">
      <w:pPr>
        <w:shd w:val="clear" w:color="auto" w:fill="FFFFFF"/>
        <w:rPr>
          <w:color w:val="000000"/>
        </w:rPr>
      </w:pPr>
    </w:p>
    <w:p w14:paraId="77F23D45" w14:textId="241998DD" w:rsidR="00160316" w:rsidRPr="00F4732E" w:rsidRDefault="00160316" w:rsidP="00160316">
      <w:pPr>
        <w:pStyle w:val="Naslov"/>
        <w:keepNext/>
        <w:jc w:val="both"/>
        <w:rPr>
          <w:b w:val="0"/>
          <w:bCs w:val="0"/>
          <w:sz w:val="24"/>
        </w:rPr>
      </w:pPr>
      <w:r w:rsidRPr="00F4732E">
        <w:rPr>
          <w:b w:val="0"/>
          <w:bCs w:val="0"/>
          <w:sz w:val="24"/>
        </w:rPr>
        <w:lastRenderedPageBreak/>
        <w:t>U 2021. su prihodi poslovanja ostvareni u iznosu od 92,7 milijardi kuna, odnosno 15% više nego prethodne godine, dok su rashodi poslovanja ostvareni u iznosu od 109,1 milijardi kuna, odnosno 6,9% više nego prethodne godine. Na ostvarenje prihoda državnog proračuna u 2021. godini utjecala su pozitivna kretnja u gospodarstvu, cjelogodišnji fiskalni učinci provedenog poreznog rasterećenja u 2020. te učinci poreznih izmjena koji su stupili na snagu od 1. siječnja 2021., a odnose se na porezne izmjene u okviru sustava poreza na dobit, poreza na dohodak, poreza na dodanu vrijednost te trošarinskih propisa.</w:t>
      </w:r>
    </w:p>
    <w:p w14:paraId="76D8F287" w14:textId="77777777" w:rsidR="00160316" w:rsidRPr="00F4732E" w:rsidRDefault="00160316" w:rsidP="00160316">
      <w:pPr>
        <w:pStyle w:val="Naslov"/>
        <w:keepNext/>
        <w:jc w:val="both"/>
        <w:rPr>
          <w:b w:val="0"/>
          <w:bCs w:val="0"/>
          <w:sz w:val="24"/>
        </w:rPr>
      </w:pPr>
    </w:p>
    <w:p w14:paraId="5AA0B276" w14:textId="6EDD5C5D" w:rsidR="00C47688" w:rsidRPr="00F4732E" w:rsidRDefault="00160316" w:rsidP="001109D4">
      <w:pPr>
        <w:shd w:val="clear" w:color="auto" w:fill="FFFFFF"/>
        <w:jc w:val="both"/>
        <w:rPr>
          <w:color w:val="000000"/>
        </w:rPr>
      </w:pPr>
      <w:r w:rsidRPr="00F4732E">
        <w:rPr>
          <w:color w:val="000000"/>
        </w:rPr>
        <w:t>Značajan učinak na prihode proračuna imaju i sredstva iz EU fondova, ponajprije iz tekućeg Višegodišnjeg financijskog okvira 2014. - 2020., ali i iz nove financijske perspektive u dijelu koji se odnosi na instrument REACT – EU vezano za očuvanje radnih mjesta.</w:t>
      </w:r>
    </w:p>
    <w:p w14:paraId="4152FC1C" w14:textId="2BB3FD34" w:rsidR="00C47688" w:rsidRPr="00F4732E" w:rsidRDefault="00C47688" w:rsidP="007D71BC">
      <w:pPr>
        <w:shd w:val="clear" w:color="auto" w:fill="FFFFFF"/>
        <w:rPr>
          <w:color w:val="000000"/>
        </w:rPr>
      </w:pPr>
    </w:p>
    <w:p w14:paraId="374CB164" w14:textId="7845A295" w:rsidR="003018DC" w:rsidRPr="00F4732E" w:rsidRDefault="003018DC" w:rsidP="003018DC">
      <w:pPr>
        <w:pStyle w:val="Naslov"/>
        <w:jc w:val="both"/>
        <w:rPr>
          <w:b w:val="0"/>
          <w:bCs w:val="0"/>
          <w:color w:val="FF0000"/>
          <w:sz w:val="24"/>
        </w:rPr>
      </w:pPr>
      <w:r w:rsidRPr="00F4732E">
        <w:rPr>
          <w:b w:val="0"/>
          <w:bCs w:val="0"/>
          <w:sz w:val="24"/>
        </w:rPr>
        <w:t xml:space="preserve">Rashodi poslovanja ostvareni su u iznosu od 109,1 milijardi kuna, odnosno za 6,9% više u odnosu na ostvarenje 2020. godine. Rast ukupnih rashoda poslovanja proizašao je najvećim dijelom iz rasta rashoda za tekuće pomoći unutar općeg proračuna. Manjak prihoda poslovanja utvrđen za 2021. iznosi 16,4 milijardi kuna, dok je </w:t>
      </w:r>
      <w:r w:rsidR="001109D4" w:rsidRPr="00F4732E">
        <w:rPr>
          <w:b w:val="0"/>
          <w:bCs w:val="0"/>
          <w:sz w:val="24"/>
        </w:rPr>
        <w:t>manjak</w:t>
      </w:r>
      <w:r w:rsidRPr="00F4732E">
        <w:rPr>
          <w:b w:val="0"/>
          <w:bCs w:val="0"/>
          <w:sz w:val="24"/>
        </w:rPr>
        <w:t xml:space="preserve"> prihoda</w:t>
      </w:r>
      <w:r w:rsidR="00810733">
        <w:rPr>
          <w:b w:val="0"/>
          <w:bCs w:val="0"/>
          <w:sz w:val="24"/>
        </w:rPr>
        <w:t xml:space="preserve"> poslovanja u 2020. iznosio 21,4</w:t>
      </w:r>
      <w:r w:rsidRPr="00F4732E">
        <w:rPr>
          <w:b w:val="0"/>
          <w:bCs w:val="0"/>
          <w:sz w:val="24"/>
        </w:rPr>
        <w:t xml:space="preserve"> milijardi kuna, na što je utjecao prethodno navedeni rast prihoda poslovanja zbog</w:t>
      </w:r>
      <w:r w:rsidRPr="00F4732E">
        <w:t xml:space="preserve"> </w:t>
      </w:r>
      <w:r w:rsidRPr="00F4732E">
        <w:rPr>
          <w:b w:val="0"/>
          <w:bCs w:val="0"/>
          <w:sz w:val="24"/>
        </w:rPr>
        <w:t>pozitivnih kretnja u gospodarstvu, cjelogodišnjih fiskalnih učinaka provedenog poreznog rasterećenja u 2020. te učinaka poreznih izmjena koji su stupili na snagu od 1. siječnja 2021. U 2021.</w:t>
      </w:r>
      <w:r w:rsidR="00DD01D6" w:rsidRPr="00F4732E">
        <w:rPr>
          <w:b w:val="0"/>
          <w:bCs w:val="0"/>
          <w:sz w:val="24"/>
        </w:rPr>
        <w:t xml:space="preserve"> godinu</w:t>
      </w:r>
      <w:r w:rsidRPr="00F4732E">
        <w:rPr>
          <w:b w:val="0"/>
          <w:bCs w:val="0"/>
          <w:sz w:val="24"/>
        </w:rPr>
        <w:t xml:space="preserve"> prenesen je manjak prihoda poslovanj</w:t>
      </w:r>
      <w:r w:rsidR="00DD01D6" w:rsidRPr="00F4732E">
        <w:rPr>
          <w:b w:val="0"/>
          <w:bCs w:val="0"/>
          <w:sz w:val="24"/>
        </w:rPr>
        <w:t>a u iznosu od 93,1</w:t>
      </w:r>
      <w:r w:rsidRPr="00F4732E">
        <w:rPr>
          <w:b w:val="0"/>
          <w:bCs w:val="0"/>
          <w:sz w:val="24"/>
        </w:rPr>
        <w:t xml:space="preserve"> milijardi kuna, pa ukupni manjak priho</w:t>
      </w:r>
      <w:r w:rsidR="00DD01D6" w:rsidRPr="00F4732E">
        <w:rPr>
          <w:b w:val="0"/>
          <w:bCs w:val="0"/>
          <w:sz w:val="24"/>
        </w:rPr>
        <w:t>da poslovanja za prijenos u 2022. godinu iznosi 109,5</w:t>
      </w:r>
      <w:r w:rsidRPr="00F4732E">
        <w:rPr>
          <w:b w:val="0"/>
          <w:bCs w:val="0"/>
          <w:sz w:val="24"/>
        </w:rPr>
        <w:t xml:space="preserve"> milijardi kuna.</w:t>
      </w:r>
    </w:p>
    <w:p w14:paraId="33058BC8" w14:textId="77777777" w:rsidR="00160316" w:rsidRPr="00F4732E" w:rsidRDefault="00160316" w:rsidP="007D71BC">
      <w:pPr>
        <w:shd w:val="clear" w:color="auto" w:fill="FFFFFF"/>
        <w:rPr>
          <w:color w:val="000000"/>
        </w:rPr>
      </w:pPr>
    </w:p>
    <w:p w14:paraId="279FB03B" w14:textId="4D205CE6" w:rsidR="003018DC" w:rsidRPr="00F4732E" w:rsidRDefault="003018DC" w:rsidP="003018DC">
      <w:pPr>
        <w:pStyle w:val="Naslov"/>
        <w:jc w:val="both"/>
        <w:rPr>
          <w:b w:val="0"/>
          <w:bCs w:val="0"/>
          <w:sz w:val="24"/>
        </w:rPr>
      </w:pPr>
      <w:r w:rsidRPr="00F4732E">
        <w:rPr>
          <w:b w:val="0"/>
          <w:bCs w:val="0"/>
          <w:sz w:val="24"/>
        </w:rPr>
        <w:t>Prihodi od prodaje nefinancijske imovine ostvareni su u 2021. u iznosu 315,1 milijuna kuna što predstavlja smanjenje ostvarenja ovih prihoda od 15% u odnosu na</w:t>
      </w:r>
      <w:r w:rsidR="00DE4B8F" w:rsidRPr="00F4732E">
        <w:rPr>
          <w:b w:val="0"/>
          <w:bCs w:val="0"/>
          <w:sz w:val="24"/>
        </w:rPr>
        <w:t xml:space="preserve"> ostvarenje u</w:t>
      </w:r>
      <w:r w:rsidRPr="00F4732E">
        <w:rPr>
          <w:b w:val="0"/>
          <w:bCs w:val="0"/>
          <w:sz w:val="24"/>
        </w:rPr>
        <w:t xml:space="preserve"> 2020</w:t>
      </w:r>
      <w:r w:rsidR="00DE4B8F" w:rsidRPr="00F4732E">
        <w:rPr>
          <w:b w:val="0"/>
          <w:bCs w:val="0"/>
          <w:sz w:val="24"/>
        </w:rPr>
        <w:t>. godini</w:t>
      </w:r>
      <w:r w:rsidRPr="00F4732E">
        <w:rPr>
          <w:b w:val="0"/>
          <w:bCs w:val="0"/>
          <w:sz w:val="24"/>
        </w:rPr>
        <w:t>. Rashodi za nabavu nefinancijske imovine su u 2021. ostvareni u iznosu od 86,4 milijuna kuna, odnosno 63,6% manje</w:t>
      </w:r>
      <w:r w:rsidR="00FE0021" w:rsidRPr="00F4732E">
        <w:rPr>
          <w:b w:val="0"/>
          <w:bCs w:val="0"/>
          <w:sz w:val="24"/>
        </w:rPr>
        <w:t xml:space="preserve"> nego u prethodnoj godini, s obzirom na to da je u 2020. u okviru rashoda</w:t>
      </w:r>
      <w:r w:rsidR="00FE0021" w:rsidRPr="00F4732E">
        <w:t xml:space="preserve"> </w:t>
      </w:r>
      <w:r w:rsidR="00FE0021" w:rsidRPr="00F4732E">
        <w:rPr>
          <w:b w:val="0"/>
          <w:bCs w:val="0"/>
          <w:sz w:val="24"/>
        </w:rPr>
        <w:t>za nabavu prijevoznih sredstava u pomorskom i riječnom prometu bilo evidentirano preuzimanje broda</w:t>
      </w:r>
      <w:r w:rsidR="00FE0021" w:rsidRPr="00F4732E">
        <w:t xml:space="preserve"> </w:t>
      </w:r>
      <w:r w:rsidR="00FE0021" w:rsidRPr="00F4732E">
        <w:rPr>
          <w:b w:val="0"/>
          <w:bCs w:val="0"/>
          <w:sz w:val="24"/>
        </w:rPr>
        <w:t>u gradnji ULJANIK 514</w:t>
      </w:r>
      <w:r w:rsidR="00DE4B8F" w:rsidRPr="00F4732E">
        <w:rPr>
          <w:b w:val="0"/>
          <w:bCs w:val="0"/>
          <w:sz w:val="24"/>
        </w:rPr>
        <w:t xml:space="preserve"> od strane</w:t>
      </w:r>
      <w:r w:rsidR="00DE4B8F" w:rsidRPr="00F4732E">
        <w:t xml:space="preserve"> </w:t>
      </w:r>
      <w:r w:rsidR="00DE4B8F" w:rsidRPr="00F4732E">
        <w:rPr>
          <w:b w:val="0"/>
          <w:bCs w:val="0"/>
          <w:sz w:val="24"/>
        </w:rPr>
        <w:t>Republike Hrvatske, Ministarstva financija</w:t>
      </w:r>
      <w:r w:rsidR="00FE0021" w:rsidRPr="00F4732E">
        <w:rPr>
          <w:b w:val="0"/>
          <w:bCs w:val="0"/>
          <w:sz w:val="24"/>
        </w:rPr>
        <w:t xml:space="preserve"> u iznosu od 142.141.172,80 kuna</w:t>
      </w:r>
      <w:r w:rsidR="00DD01D6" w:rsidRPr="00F4732E">
        <w:rPr>
          <w:b w:val="0"/>
          <w:bCs w:val="0"/>
          <w:sz w:val="24"/>
        </w:rPr>
        <w:t xml:space="preserve"> koje je značajno utjecalo na visinu rashoda u 2020. godini</w:t>
      </w:r>
      <w:r w:rsidR="00FE0021" w:rsidRPr="00F4732E">
        <w:rPr>
          <w:b w:val="0"/>
          <w:bCs w:val="0"/>
          <w:sz w:val="24"/>
        </w:rPr>
        <w:t>.</w:t>
      </w:r>
      <w:r w:rsidRPr="00F4732E">
        <w:rPr>
          <w:b w:val="0"/>
          <w:bCs w:val="0"/>
          <w:sz w:val="24"/>
        </w:rPr>
        <w:t xml:space="preserve"> </w:t>
      </w:r>
      <w:r w:rsidR="00DE4B8F" w:rsidRPr="00F4732E">
        <w:rPr>
          <w:b w:val="0"/>
          <w:bCs w:val="0"/>
          <w:sz w:val="24"/>
        </w:rPr>
        <w:t>Na kraju 2021. godine utvrđen je višak</w:t>
      </w:r>
      <w:r w:rsidRPr="00F4732E">
        <w:rPr>
          <w:b w:val="0"/>
          <w:bCs w:val="0"/>
          <w:sz w:val="24"/>
        </w:rPr>
        <w:t xml:space="preserve"> prihoda od prodaje nefinancijske imovine </w:t>
      </w:r>
      <w:r w:rsidR="00FE0021" w:rsidRPr="00F4732E">
        <w:rPr>
          <w:b w:val="0"/>
          <w:bCs w:val="0"/>
          <w:sz w:val="24"/>
        </w:rPr>
        <w:t xml:space="preserve">u iznosu od </w:t>
      </w:r>
      <w:r w:rsidR="00DE4B8F" w:rsidRPr="00F4732E">
        <w:rPr>
          <w:b w:val="0"/>
          <w:bCs w:val="0"/>
          <w:sz w:val="24"/>
        </w:rPr>
        <w:t>228,8 milijuna kuna, što je 71,6% više ostvaren višak u odnosu na ostvarenje 2020.</w:t>
      </w:r>
    </w:p>
    <w:p w14:paraId="049777B6" w14:textId="77777777" w:rsidR="003018DC" w:rsidRPr="00F4732E" w:rsidRDefault="003018DC" w:rsidP="003018DC">
      <w:pPr>
        <w:pStyle w:val="Naslov"/>
        <w:jc w:val="both"/>
        <w:rPr>
          <w:b w:val="0"/>
          <w:bCs w:val="0"/>
          <w:sz w:val="24"/>
        </w:rPr>
      </w:pPr>
    </w:p>
    <w:p w14:paraId="34389476" w14:textId="7B89AC83" w:rsidR="003018DC" w:rsidRPr="00F4732E" w:rsidRDefault="003018DC" w:rsidP="003018DC">
      <w:pPr>
        <w:pStyle w:val="Naslov"/>
        <w:jc w:val="both"/>
        <w:rPr>
          <w:b w:val="0"/>
          <w:bCs w:val="0"/>
          <w:sz w:val="24"/>
        </w:rPr>
      </w:pPr>
      <w:r w:rsidRPr="00F4732E">
        <w:rPr>
          <w:b w:val="0"/>
          <w:bCs w:val="0"/>
          <w:sz w:val="24"/>
        </w:rPr>
        <w:t>Manjak prihoda od prodaje nefin</w:t>
      </w:r>
      <w:r w:rsidR="00DD01D6" w:rsidRPr="00F4732E">
        <w:rPr>
          <w:b w:val="0"/>
          <w:bCs w:val="0"/>
          <w:sz w:val="24"/>
        </w:rPr>
        <w:t>ancijske imovine prenesen u 2021. iznosi 46,4</w:t>
      </w:r>
      <w:r w:rsidRPr="00F4732E">
        <w:rPr>
          <w:b w:val="0"/>
          <w:bCs w:val="0"/>
          <w:sz w:val="24"/>
        </w:rPr>
        <w:t xml:space="preserve"> milijardi kuna, pa ukupni manjak prihoda od prodaje nefinancijske imovin</w:t>
      </w:r>
      <w:r w:rsidR="00DD01D6" w:rsidRPr="00F4732E">
        <w:rPr>
          <w:b w:val="0"/>
          <w:bCs w:val="0"/>
          <w:sz w:val="24"/>
        </w:rPr>
        <w:t>e za prijenos u 2022. iznosi 46,1</w:t>
      </w:r>
      <w:r w:rsidRPr="00F4732E">
        <w:rPr>
          <w:b w:val="0"/>
          <w:bCs w:val="0"/>
          <w:sz w:val="24"/>
        </w:rPr>
        <w:t xml:space="preserve"> milijardi kuna.</w:t>
      </w:r>
    </w:p>
    <w:p w14:paraId="79A44237" w14:textId="77777777" w:rsidR="003018DC" w:rsidRPr="00F4732E" w:rsidRDefault="003018DC" w:rsidP="003018DC"/>
    <w:p w14:paraId="2D8D1F88" w14:textId="25761732" w:rsidR="003018DC" w:rsidRPr="00F4732E" w:rsidRDefault="00DE4B8F" w:rsidP="003018DC">
      <w:pPr>
        <w:pStyle w:val="Naslov"/>
        <w:jc w:val="both"/>
        <w:rPr>
          <w:b w:val="0"/>
          <w:bCs w:val="0"/>
          <w:sz w:val="24"/>
        </w:rPr>
      </w:pPr>
      <w:r w:rsidRPr="00F4732E">
        <w:rPr>
          <w:b w:val="0"/>
          <w:bCs w:val="0"/>
          <w:sz w:val="24"/>
        </w:rPr>
        <w:t>U 2021</w:t>
      </w:r>
      <w:r w:rsidR="003018DC" w:rsidRPr="00F4732E">
        <w:rPr>
          <w:b w:val="0"/>
          <w:bCs w:val="0"/>
          <w:sz w:val="24"/>
        </w:rPr>
        <w:t>. su primici od financijske imo</w:t>
      </w:r>
      <w:r w:rsidRPr="00F4732E">
        <w:rPr>
          <w:b w:val="0"/>
          <w:bCs w:val="0"/>
          <w:sz w:val="24"/>
        </w:rPr>
        <w:t>vine i zaduživanja iznosili 37,9</w:t>
      </w:r>
      <w:r w:rsidR="003018DC" w:rsidRPr="00F4732E">
        <w:rPr>
          <w:b w:val="0"/>
          <w:bCs w:val="0"/>
          <w:sz w:val="24"/>
        </w:rPr>
        <w:t xml:space="preserve"> milijarde kuna, odnosno </w:t>
      </w:r>
      <w:r w:rsidRPr="00F4732E">
        <w:rPr>
          <w:b w:val="0"/>
          <w:bCs w:val="0"/>
          <w:sz w:val="24"/>
        </w:rPr>
        <w:t>smanjili su se za 38,6%</w:t>
      </w:r>
      <w:r w:rsidR="003018DC" w:rsidRPr="00F4732E">
        <w:rPr>
          <w:b w:val="0"/>
          <w:bCs w:val="0"/>
          <w:sz w:val="24"/>
        </w:rPr>
        <w:t xml:space="preserve"> u odnosu na </w:t>
      </w:r>
      <w:r w:rsidRPr="00F4732E">
        <w:rPr>
          <w:b w:val="0"/>
          <w:bCs w:val="0"/>
          <w:sz w:val="24"/>
        </w:rPr>
        <w:t>61,7</w:t>
      </w:r>
      <w:r w:rsidR="003018DC" w:rsidRPr="00F4732E">
        <w:rPr>
          <w:b w:val="0"/>
          <w:bCs w:val="0"/>
          <w:sz w:val="24"/>
        </w:rPr>
        <w:t xml:space="preserve"> milijardi </w:t>
      </w:r>
      <w:r w:rsidRPr="00F4732E">
        <w:rPr>
          <w:b w:val="0"/>
          <w:bCs w:val="0"/>
          <w:sz w:val="24"/>
        </w:rPr>
        <w:t>kuna primitaka ostvarenih u 2020</w:t>
      </w:r>
      <w:r w:rsidR="003018DC" w:rsidRPr="00F4732E">
        <w:rPr>
          <w:b w:val="0"/>
          <w:bCs w:val="0"/>
          <w:sz w:val="24"/>
        </w:rPr>
        <w:t>. godini. Izdaci za financijsku imovinu i otp</w:t>
      </w:r>
      <w:r w:rsidRPr="00F4732E">
        <w:rPr>
          <w:b w:val="0"/>
          <w:bCs w:val="0"/>
          <w:sz w:val="24"/>
        </w:rPr>
        <w:t>late zajmova ostvareni su u 2021</w:t>
      </w:r>
      <w:r w:rsidR="003018DC" w:rsidRPr="00F4732E">
        <w:rPr>
          <w:b w:val="0"/>
          <w:bCs w:val="0"/>
          <w:sz w:val="24"/>
        </w:rPr>
        <w:t xml:space="preserve">. </w:t>
      </w:r>
      <w:r w:rsidRPr="00F4732E">
        <w:rPr>
          <w:b w:val="0"/>
          <w:bCs w:val="0"/>
          <w:sz w:val="24"/>
        </w:rPr>
        <w:t xml:space="preserve">u iznosu od </w:t>
      </w:r>
      <w:r w:rsidR="00B56144">
        <w:rPr>
          <w:b w:val="0"/>
          <w:bCs w:val="0"/>
          <w:sz w:val="24"/>
        </w:rPr>
        <w:t>22,3</w:t>
      </w:r>
      <w:r w:rsidRPr="00F4732E">
        <w:rPr>
          <w:b w:val="0"/>
          <w:bCs w:val="0"/>
          <w:sz w:val="24"/>
        </w:rPr>
        <w:t xml:space="preserve"> milijardi kuna, odnosn</w:t>
      </w:r>
      <w:r w:rsidR="00DD01D6" w:rsidRPr="00F4732E">
        <w:rPr>
          <w:b w:val="0"/>
          <w:bCs w:val="0"/>
          <w:sz w:val="24"/>
        </w:rPr>
        <w:t>o 31,2% manje</w:t>
      </w:r>
      <w:r w:rsidRPr="00F4732E">
        <w:rPr>
          <w:b w:val="0"/>
          <w:bCs w:val="0"/>
          <w:sz w:val="24"/>
        </w:rPr>
        <w:t xml:space="preserve"> nego u 2020</w:t>
      </w:r>
      <w:r w:rsidR="003018DC" w:rsidRPr="00F4732E">
        <w:rPr>
          <w:b w:val="0"/>
          <w:bCs w:val="0"/>
          <w:sz w:val="24"/>
        </w:rPr>
        <w:t>. ka</w:t>
      </w:r>
      <w:r w:rsidRPr="00F4732E">
        <w:rPr>
          <w:b w:val="0"/>
          <w:bCs w:val="0"/>
          <w:sz w:val="24"/>
        </w:rPr>
        <w:t>da su ostvareni u iznosu od 32,4 milijardi kuna. U 2021</w:t>
      </w:r>
      <w:r w:rsidR="003018DC" w:rsidRPr="00F4732E">
        <w:rPr>
          <w:b w:val="0"/>
          <w:bCs w:val="0"/>
          <w:sz w:val="24"/>
        </w:rPr>
        <w:t xml:space="preserve">. ostvaren je </w:t>
      </w:r>
      <w:r w:rsidR="00616506" w:rsidRPr="00F4732E">
        <w:rPr>
          <w:b w:val="0"/>
          <w:bCs w:val="0"/>
          <w:sz w:val="24"/>
        </w:rPr>
        <w:t>višak</w:t>
      </w:r>
      <w:r w:rsidR="003018DC" w:rsidRPr="00F4732E">
        <w:rPr>
          <w:b w:val="0"/>
          <w:bCs w:val="0"/>
          <w:sz w:val="24"/>
        </w:rPr>
        <w:t xml:space="preserve"> primitaka od financijske imovi</w:t>
      </w:r>
      <w:r w:rsidR="00616506" w:rsidRPr="00F4732E">
        <w:rPr>
          <w:b w:val="0"/>
          <w:bCs w:val="0"/>
          <w:sz w:val="24"/>
        </w:rPr>
        <w:t>ne nad izdacima u iznosu od 15,6</w:t>
      </w:r>
      <w:r w:rsidR="003018DC" w:rsidRPr="00F4732E">
        <w:rPr>
          <w:b w:val="0"/>
          <w:bCs w:val="0"/>
          <w:sz w:val="24"/>
        </w:rPr>
        <w:t xml:space="preserve"> milijardi kuna, </w:t>
      </w:r>
      <w:r w:rsidRPr="00F4732E">
        <w:rPr>
          <w:b w:val="0"/>
          <w:bCs w:val="0"/>
          <w:sz w:val="24"/>
        </w:rPr>
        <w:t>dok je</w:t>
      </w:r>
      <w:r w:rsidR="003018DC" w:rsidRPr="00F4732E">
        <w:rPr>
          <w:b w:val="0"/>
          <w:bCs w:val="0"/>
          <w:sz w:val="24"/>
        </w:rPr>
        <w:t xml:space="preserve"> u prethodnoj godini o</w:t>
      </w:r>
      <w:r w:rsidR="00517166" w:rsidRPr="00F4732E">
        <w:rPr>
          <w:b w:val="0"/>
          <w:bCs w:val="0"/>
          <w:sz w:val="24"/>
        </w:rPr>
        <w:t>stvaren višak u iznosu od 29,3</w:t>
      </w:r>
      <w:r w:rsidR="003018DC" w:rsidRPr="00F4732E">
        <w:rPr>
          <w:b w:val="0"/>
          <w:bCs w:val="0"/>
          <w:sz w:val="24"/>
        </w:rPr>
        <w:t xml:space="preserve"> milijardi kuna.</w:t>
      </w:r>
    </w:p>
    <w:p w14:paraId="0F334EB1" w14:textId="77777777" w:rsidR="00517166" w:rsidRPr="00F4732E" w:rsidRDefault="00517166" w:rsidP="003018DC">
      <w:pPr>
        <w:pStyle w:val="Naslov"/>
        <w:jc w:val="both"/>
        <w:rPr>
          <w:b w:val="0"/>
          <w:bCs w:val="0"/>
          <w:sz w:val="24"/>
        </w:rPr>
      </w:pPr>
    </w:p>
    <w:p w14:paraId="19FF7F72" w14:textId="59DB5C19" w:rsidR="003018DC" w:rsidRPr="00F4732E" w:rsidRDefault="00616506" w:rsidP="003018DC">
      <w:pPr>
        <w:pStyle w:val="Naslov"/>
        <w:jc w:val="both"/>
        <w:rPr>
          <w:b w:val="0"/>
          <w:bCs w:val="0"/>
          <w:sz w:val="24"/>
        </w:rPr>
      </w:pPr>
      <w:r w:rsidRPr="00F4732E">
        <w:rPr>
          <w:b w:val="0"/>
          <w:bCs w:val="0"/>
          <w:sz w:val="24"/>
        </w:rPr>
        <w:t>U 2021</w:t>
      </w:r>
      <w:r w:rsidR="003018DC" w:rsidRPr="00F4732E">
        <w:rPr>
          <w:b w:val="0"/>
          <w:bCs w:val="0"/>
          <w:sz w:val="24"/>
        </w:rPr>
        <w:t xml:space="preserve">. je prenesen višak primitaka od financijske imovine iz prethodnih godina u iznosu od </w:t>
      </w:r>
      <w:r w:rsidRPr="00F4732E">
        <w:rPr>
          <w:b w:val="0"/>
          <w:bCs w:val="0"/>
          <w:sz w:val="24"/>
        </w:rPr>
        <w:t>153,5</w:t>
      </w:r>
      <w:r w:rsidR="003018DC" w:rsidRPr="00F4732E">
        <w:rPr>
          <w:b w:val="0"/>
          <w:bCs w:val="0"/>
          <w:sz w:val="24"/>
        </w:rPr>
        <w:t xml:space="preserve"> milijardi kuna, pa ukupni višak primitaka </w:t>
      </w:r>
      <w:r w:rsidRPr="00F4732E">
        <w:rPr>
          <w:b w:val="0"/>
          <w:bCs w:val="0"/>
          <w:sz w:val="24"/>
        </w:rPr>
        <w:t>za prijenos u 2021. iznosi 159,1</w:t>
      </w:r>
      <w:r w:rsidR="003018DC" w:rsidRPr="00F4732E">
        <w:rPr>
          <w:b w:val="0"/>
          <w:bCs w:val="0"/>
          <w:sz w:val="24"/>
        </w:rPr>
        <w:t xml:space="preserve"> milijardi kuna.</w:t>
      </w:r>
    </w:p>
    <w:p w14:paraId="79C9067C" w14:textId="77777777" w:rsidR="003018DC" w:rsidRPr="00F4732E" w:rsidRDefault="003018DC" w:rsidP="003018DC"/>
    <w:p w14:paraId="300ACD97" w14:textId="0F6EF332" w:rsidR="003018DC" w:rsidRPr="00517166" w:rsidRDefault="003018DC" w:rsidP="003018DC">
      <w:pPr>
        <w:pStyle w:val="Naslov"/>
        <w:keepNext/>
        <w:jc w:val="both"/>
        <w:rPr>
          <w:b w:val="0"/>
          <w:bCs w:val="0"/>
          <w:color w:val="FF0000"/>
          <w:sz w:val="24"/>
        </w:rPr>
      </w:pPr>
      <w:r w:rsidRPr="00F4732E">
        <w:rPr>
          <w:b w:val="0"/>
          <w:bCs w:val="0"/>
          <w:sz w:val="24"/>
        </w:rPr>
        <w:t>Ukupni rez</w:t>
      </w:r>
      <w:r w:rsidR="00517166" w:rsidRPr="00F4732E">
        <w:rPr>
          <w:b w:val="0"/>
          <w:bCs w:val="0"/>
          <w:sz w:val="24"/>
        </w:rPr>
        <w:t>ultat Državnog proračuna za 2021. je manjak</w:t>
      </w:r>
      <w:r w:rsidRPr="00F4732E">
        <w:rPr>
          <w:b w:val="0"/>
          <w:bCs w:val="0"/>
          <w:sz w:val="24"/>
        </w:rPr>
        <w:t xml:space="preserve"> prihoda i primitaka u iznosu od </w:t>
      </w:r>
      <w:r w:rsidR="00616506" w:rsidRPr="00F4732E">
        <w:rPr>
          <w:b w:val="0"/>
          <w:bCs w:val="0"/>
          <w:sz w:val="24"/>
        </w:rPr>
        <w:t>569 milijuna</w:t>
      </w:r>
      <w:r w:rsidRPr="00F4732E">
        <w:rPr>
          <w:b w:val="0"/>
          <w:bCs w:val="0"/>
          <w:sz w:val="24"/>
        </w:rPr>
        <w:t xml:space="preserve"> kuna</w:t>
      </w:r>
      <w:r w:rsidR="00517166" w:rsidRPr="00F4732E">
        <w:rPr>
          <w:b w:val="0"/>
          <w:bCs w:val="0"/>
          <w:sz w:val="24"/>
        </w:rPr>
        <w:t>, a s obzirom na to da je u 2021</w:t>
      </w:r>
      <w:r w:rsidRPr="00F4732E">
        <w:rPr>
          <w:b w:val="0"/>
          <w:bCs w:val="0"/>
          <w:sz w:val="24"/>
        </w:rPr>
        <w:t xml:space="preserve">. prenesen višak prihoda i primitaka u iznosu od </w:t>
      </w:r>
      <w:r w:rsidR="00616506" w:rsidRPr="00F4732E">
        <w:rPr>
          <w:b w:val="0"/>
          <w:bCs w:val="0"/>
          <w:sz w:val="24"/>
        </w:rPr>
        <w:t>14</w:t>
      </w:r>
      <w:r w:rsidRPr="00F4732E">
        <w:rPr>
          <w:b w:val="0"/>
          <w:bCs w:val="0"/>
          <w:sz w:val="24"/>
        </w:rPr>
        <w:t xml:space="preserve"> </w:t>
      </w:r>
      <w:r w:rsidR="00616506" w:rsidRPr="00F4732E">
        <w:rPr>
          <w:b w:val="0"/>
          <w:bCs w:val="0"/>
          <w:sz w:val="24"/>
        </w:rPr>
        <w:t>milijardi</w:t>
      </w:r>
      <w:r w:rsidR="00517166" w:rsidRPr="00F4732E">
        <w:rPr>
          <w:b w:val="0"/>
          <w:bCs w:val="0"/>
          <w:sz w:val="24"/>
        </w:rPr>
        <w:t xml:space="preserve"> kuna, </w:t>
      </w:r>
      <w:r w:rsidR="00616506" w:rsidRPr="00F4732E">
        <w:rPr>
          <w:b w:val="0"/>
          <w:bCs w:val="0"/>
          <w:sz w:val="24"/>
        </w:rPr>
        <w:t>ukupni višak</w:t>
      </w:r>
      <w:r w:rsidRPr="00F4732E">
        <w:rPr>
          <w:b w:val="0"/>
          <w:bCs w:val="0"/>
          <w:sz w:val="24"/>
        </w:rPr>
        <w:t xml:space="preserve"> prihoda i primitaka raspoloživ u sljedećem ra</w:t>
      </w:r>
      <w:r w:rsidR="00F05CE4">
        <w:rPr>
          <w:b w:val="0"/>
          <w:bCs w:val="0"/>
          <w:sz w:val="24"/>
        </w:rPr>
        <w:t>zdoblju iznosi 13</w:t>
      </w:r>
      <w:r w:rsidR="00616506" w:rsidRPr="00F4732E">
        <w:rPr>
          <w:b w:val="0"/>
          <w:bCs w:val="0"/>
          <w:sz w:val="24"/>
        </w:rPr>
        <w:t>,4</w:t>
      </w:r>
      <w:r w:rsidRPr="00F4732E">
        <w:rPr>
          <w:b w:val="0"/>
          <w:bCs w:val="0"/>
          <w:sz w:val="24"/>
        </w:rPr>
        <w:t xml:space="preserve"> milijardi kuna.</w:t>
      </w:r>
    </w:p>
    <w:p w14:paraId="0A4D32AF" w14:textId="77777777" w:rsidR="00C47688" w:rsidRDefault="00C47688" w:rsidP="007D71BC">
      <w:pPr>
        <w:shd w:val="clear" w:color="auto" w:fill="FFFFFF"/>
        <w:rPr>
          <w:color w:val="000000"/>
        </w:rPr>
      </w:pPr>
    </w:p>
    <w:p w14:paraId="3B0F8E7B" w14:textId="77777777" w:rsidR="00026487" w:rsidRPr="00F4732E" w:rsidRDefault="00026487" w:rsidP="00026487">
      <w:pPr>
        <w:pStyle w:val="Naslov"/>
        <w:keepNext/>
        <w:rPr>
          <w:b w:val="0"/>
          <w:bCs w:val="0"/>
        </w:rPr>
      </w:pPr>
      <w:r w:rsidRPr="00F4732E">
        <w:rPr>
          <w:b w:val="0"/>
          <w:bCs w:val="0"/>
        </w:rPr>
        <w:lastRenderedPageBreak/>
        <w:t>Bilješka 3.</w:t>
      </w:r>
    </w:p>
    <w:p w14:paraId="5ED9C99E" w14:textId="77777777" w:rsidR="00026487" w:rsidRPr="00F4732E" w:rsidRDefault="00026487" w:rsidP="00026487">
      <w:pPr>
        <w:pStyle w:val="Naslov"/>
        <w:keepNext/>
        <w:rPr>
          <w:b w:val="0"/>
          <w:bCs w:val="0"/>
        </w:rPr>
      </w:pPr>
      <w:r w:rsidRPr="00F4732E">
        <w:rPr>
          <w:b w:val="0"/>
          <w:bCs w:val="0"/>
        </w:rPr>
        <w:t>AOP 003 do 011 Porez i prirez na dohodak</w:t>
      </w:r>
    </w:p>
    <w:p w14:paraId="6418906E" w14:textId="1DB62371" w:rsidR="00026487" w:rsidRPr="00F4732E" w:rsidRDefault="00026487" w:rsidP="00026487">
      <w:pPr>
        <w:jc w:val="both"/>
      </w:pPr>
      <w:r w:rsidRPr="00F4732E">
        <w:t xml:space="preserve">Prihodi od poreza na </w:t>
      </w:r>
      <w:r w:rsidR="00616506" w:rsidRPr="00F4732E">
        <w:t>dohodak nisu ostvareni ni u 2020. godini niti u 2021</w:t>
      </w:r>
      <w:r w:rsidRPr="00F4732E">
        <w:t xml:space="preserve">. Razlog navedenom je što su porez i prirez na dohodak od kapitala te ostali porezi i prirezi na dohodak prihod jedinica lokalne i područne (regionalne) samouprave. </w:t>
      </w:r>
    </w:p>
    <w:p w14:paraId="1D69CA98" w14:textId="77777777" w:rsidR="00026487" w:rsidRPr="00F4732E" w:rsidRDefault="00026487" w:rsidP="00026487">
      <w:pPr>
        <w:pStyle w:val="Naslov"/>
        <w:keepNext/>
        <w:rPr>
          <w:b w:val="0"/>
          <w:bCs w:val="0"/>
        </w:rPr>
      </w:pPr>
    </w:p>
    <w:p w14:paraId="7E8DDBA4" w14:textId="77777777" w:rsidR="00026487" w:rsidRPr="00F4732E" w:rsidRDefault="00026487" w:rsidP="00026487">
      <w:pPr>
        <w:pStyle w:val="Naslov"/>
        <w:keepNext/>
        <w:rPr>
          <w:b w:val="0"/>
          <w:bCs w:val="0"/>
        </w:rPr>
      </w:pPr>
      <w:r w:rsidRPr="00F4732E">
        <w:rPr>
          <w:b w:val="0"/>
          <w:bCs w:val="0"/>
        </w:rPr>
        <w:t>Bilješka 4.</w:t>
      </w:r>
    </w:p>
    <w:p w14:paraId="23302C26" w14:textId="77777777" w:rsidR="00026487" w:rsidRPr="00F4732E" w:rsidRDefault="00026487" w:rsidP="00026487">
      <w:pPr>
        <w:pStyle w:val="Naslov"/>
        <w:keepNext/>
        <w:rPr>
          <w:b w:val="0"/>
          <w:bCs w:val="0"/>
        </w:rPr>
      </w:pPr>
      <w:r w:rsidRPr="00F4732E">
        <w:rPr>
          <w:b w:val="0"/>
          <w:bCs w:val="0"/>
        </w:rPr>
        <w:t>AOP 012 do 017 Porez na dobit</w:t>
      </w:r>
    </w:p>
    <w:p w14:paraId="0A1A742A" w14:textId="56B9737B" w:rsidR="00026487" w:rsidRPr="00F4732E" w:rsidRDefault="00026487" w:rsidP="00026487">
      <w:pPr>
        <w:tabs>
          <w:tab w:val="decimal" w:pos="7380"/>
        </w:tabs>
        <w:jc w:val="both"/>
      </w:pPr>
      <w:r w:rsidRPr="00F4732E">
        <w:t xml:space="preserve">Prihodi od poreza na dobit ostvareni su u 2021. u iznosu od 7.915.094.959 </w:t>
      </w:r>
      <w:r w:rsidR="004F0AB2">
        <w:t xml:space="preserve">kuna, što je smanjenje </w:t>
      </w:r>
      <w:r w:rsidRPr="00F4732E">
        <w:t xml:space="preserve">u odnosu na ostvarenih 9.306.092.983 </w:t>
      </w:r>
      <w:r w:rsidR="004F0AB2">
        <w:t xml:space="preserve">kuna </w:t>
      </w:r>
      <w:r w:rsidRPr="00F4732E">
        <w:t xml:space="preserve">u 2020. Razlog </w:t>
      </w:r>
      <w:r w:rsidR="004F0AB2">
        <w:t>smanjenja je činjenica da je</w:t>
      </w:r>
      <w:r w:rsidRPr="00F4732E">
        <w:t xml:space="preserve"> od 1. siječnja 2021. stopa poreza na dobit za sve poduzetnike koji imaju promet do 7,5 mili</w:t>
      </w:r>
      <w:r w:rsidR="000C6F9F" w:rsidRPr="00F4732E">
        <w:t>juna kuna smanjena s 12% na 10%.</w:t>
      </w:r>
    </w:p>
    <w:p w14:paraId="33E7383D" w14:textId="77777777" w:rsidR="00026487" w:rsidRPr="00F4732E" w:rsidRDefault="00026487" w:rsidP="00026487">
      <w:pPr>
        <w:tabs>
          <w:tab w:val="decimal" w:pos="7380"/>
        </w:tabs>
        <w:jc w:val="both"/>
      </w:pPr>
    </w:p>
    <w:p w14:paraId="486552DA" w14:textId="77777777" w:rsidR="00026487" w:rsidRPr="00F4732E" w:rsidRDefault="00026487" w:rsidP="00026487">
      <w:pPr>
        <w:pStyle w:val="Naslov"/>
        <w:keepNext/>
        <w:rPr>
          <w:b w:val="0"/>
          <w:bCs w:val="0"/>
        </w:rPr>
      </w:pPr>
      <w:r w:rsidRPr="00F4732E">
        <w:rPr>
          <w:b w:val="0"/>
          <w:bCs w:val="0"/>
        </w:rPr>
        <w:t>Bilješka 5.</w:t>
      </w:r>
    </w:p>
    <w:p w14:paraId="7228551A" w14:textId="77777777" w:rsidR="00026487" w:rsidRPr="00F4732E" w:rsidRDefault="00026487" w:rsidP="00026487">
      <w:pPr>
        <w:pStyle w:val="Naslov"/>
        <w:keepNext/>
        <w:rPr>
          <w:b w:val="0"/>
          <w:bCs w:val="0"/>
        </w:rPr>
      </w:pPr>
      <w:r w:rsidRPr="00F4732E">
        <w:rPr>
          <w:b w:val="0"/>
          <w:bCs w:val="0"/>
        </w:rPr>
        <w:t>AOP 024 do 031 Porezi na robu i usluge</w:t>
      </w:r>
    </w:p>
    <w:p w14:paraId="1055B378" w14:textId="47D0272B" w:rsidR="00026487" w:rsidRPr="00F4732E" w:rsidRDefault="00026487" w:rsidP="00026487">
      <w:pPr>
        <w:jc w:val="both"/>
        <w:rPr>
          <w:bCs/>
        </w:rPr>
      </w:pPr>
      <w:r w:rsidRPr="00F4732E">
        <w:rPr>
          <w:bCs/>
        </w:rPr>
        <w:t xml:space="preserve">Porezi na robu i usluge u 2021. godini iznose 74,8 milijarde kuna te su za 18,7% veći u odnosu na </w:t>
      </w:r>
      <w:r w:rsidR="001F17AB" w:rsidRPr="00F4732E">
        <w:rPr>
          <w:bCs/>
        </w:rPr>
        <w:t>ostvarenje u prethodnom razdoblju</w:t>
      </w:r>
      <w:r w:rsidRPr="00F4732E">
        <w:rPr>
          <w:bCs/>
        </w:rPr>
        <w:t>. Prikupljeni prihodi od poreza na dodanu vrijednost u 2021. godini su veći za 21% u odnosu na ostvareno u 2020., a rezultat su rasta osobne potrošnje, neočekivano dobre turističke potrošnje, poreznih rasterećenja koja su u primjeni od početka 2021. godine te povećane inflacije. Naime, promet u trgovini na malo povećan je u nominalnim iznosima 15,5% u 2021. godini, a turistička sezona bila je daleko bolja od očekivane.</w:t>
      </w:r>
    </w:p>
    <w:p w14:paraId="5DCC4A13" w14:textId="09722B89" w:rsidR="000C6F9F" w:rsidRPr="00F4732E" w:rsidRDefault="000C6F9F" w:rsidP="00026487">
      <w:pPr>
        <w:jc w:val="both"/>
        <w:rPr>
          <w:bCs/>
        </w:rPr>
      </w:pPr>
    </w:p>
    <w:p w14:paraId="7BFCE46F" w14:textId="4F11EEEB" w:rsidR="000C6F9F" w:rsidRPr="00F4732E" w:rsidRDefault="000C6F9F" w:rsidP="00026487">
      <w:pPr>
        <w:jc w:val="both"/>
        <w:rPr>
          <w:bCs/>
        </w:rPr>
      </w:pPr>
      <w:r w:rsidRPr="00F4732E">
        <w:rPr>
          <w:bCs/>
        </w:rPr>
        <w:t>Porez na promet u 2021. godini ostvaren je u iznosu od 559.539 kuna, odnosno manji je za 64% u odnosu na ostvarenje u 2020. godini. Od 2018. godine ukinut je porez na stjecanje rabljenih motornih vozila te je isti zamijenjen upravnim pristojbama koje se naplaćuju kod stjecanja rabljenih vozila. Iznos koji je ostvaren od poreza na promet odnosi se na naplatu dugovanja po osnovi poreza na stjecanje rabljenih motornih vozila.</w:t>
      </w:r>
    </w:p>
    <w:p w14:paraId="42D2C129" w14:textId="77777777" w:rsidR="00026487" w:rsidRPr="00F4732E" w:rsidRDefault="00026487" w:rsidP="00026487">
      <w:pPr>
        <w:jc w:val="both"/>
        <w:rPr>
          <w:bCs/>
        </w:rPr>
      </w:pPr>
    </w:p>
    <w:p w14:paraId="2A490F13" w14:textId="715B0B43" w:rsidR="00026487" w:rsidRPr="00F4732E" w:rsidRDefault="00026487" w:rsidP="00026487">
      <w:pPr>
        <w:jc w:val="both"/>
        <w:rPr>
          <w:bCs/>
        </w:rPr>
      </w:pPr>
      <w:r w:rsidRPr="00F4732E">
        <w:rPr>
          <w:bCs/>
        </w:rPr>
        <w:t>Prikupljeni prihodi od trošarina</w:t>
      </w:r>
      <w:r w:rsidR="001F17AB" w:rsidRPr="00F4732E">
        <w:rPr>
          <w:bCs/>
        </w:rPr>
        <w:t xml:space="preserve"> i posebnih poreza</w:t>
      </w:r>
      <w:r w:rsidRPr="00F4732E">
        <w:rPr>
          <w:bCs/>
        </w:rPr>
        <w:t xml:space="preserve"> u 2021. su os</w:t>
      </w:r>
      <w:r w:rsidR="000C6F9F" w:rsidRPr="00F4732E">
        <w:rPr>
          <w:bCs/>
        </w:rPr>
        <w:t>t</w:t>
      </w:r>
      <w:r w:rsidRPr="00F4732E">
        <w:rPr>
          <w:bCs/>
        </w:rPr>
        <w:t xml:space="preserve">vareni za 12,4% </w:t>
      </w:r>
      <w:r w:rsidR="001F17AB" w:rsidRPr="00F4732E">
        <w:rPr>
          <w:bCs/>
        </w:rPr>
        <w:t xml:space="preserve">više </w:t>
      </w:r>
      <w:r w:rsidRPr="00F4732E">
        <w:rPr>
          <w:bCs/>
        </w:rPr>
        <w:t>u odnosu na ostvarenje 2020. godine zbog utjecaja oporavka gospodarske aktivnosti, koji je rezultirao povećanjem intenziteta prometa i potrošnje svih trošarinskih proizvoda. Sukladno tome, svi trošarinski proizvodi u 2021. godini zabilježili su međugodišnji rast. Također, od travnja 2020. provedene su izmjene u sustavu trošarina na alkohol, bezalkoholna pića, te duhan i duhanske proizvode koji svoj cjelogodišnji učinak pokazuju u 2021. godini. Navedenim izmjenama povećana je trošarina na jaka alkoholna pića, dok je u sustavu oporezivanja kave i bezalkoholnih pića promijenjen način obračuna trošarine. Posebni porez na bezalkoholna pića izračunava se prema volumenu te sadržaju šećera, ako bezalkoholna pića ne sadrže metil-</w:t>
      </w:r>
      <w:proofErr w:type="spellStart"/>
      <w:r w:rsidRPr="00F4732E">
        <w:rPr>
          <w:bCs/>
        </w:rPr>
        <w:t>ksantine</w:t>
      </w:r>
      <w:proofErr w:type="spellEnd"/>
      <w:r w:rsidRPr="00F4732E">
        <w:rPr>
          <w:bCs/>
        </w:rPr>
        <w:t xml:space="preserve"> ili </w:t>
      </w:r>
      <w:proofErr w:type="spellStart"/>
      <w:r w:rsidRPr="00F4732E">
        <w:rPr>
          <w:bCs/>
        </w:rPr>
        <w:t>taurin</w:t>
      </w:r>
      <w:proofErr w:type="spellEnd"/>
      <w:r w:rsidRPr="00F4732E">
        <w:rPr>
          <w:bCs/>
        </w:rPr>
        <w:t xml:space="preserve"> podijeljeno u četiri skupine (ovisno o sadržaju šećera) pri čemu pića s manjim sadržajem šećera plaćaju manji porez. Posebno se oporezuju energetski napici odnosno pića koja sadrže metil-</w:t>
      </w:r>
      <w:proofErr w:type="spellStart"/>
      <w:r w:rsidRPr="00F4732E">
        <w:rPr>
          <w:bCs/>
        </w:rPr>
        <w:t>ksantine</w:t>
      </w:r>
      <w:proofErr w:type="spellEnd"/>
      <w:r w:rsidRPr="00F4732E">
        <w:rPr>
          <w:bCs/>
        </w:rPr>
        <w:t xml:space="preserve"> i </w:t>
      </w:r>
      <w:proofErr w:type="spellStart"/>
      <w:r w:rsidRPr="00F4732E">
        <w:rPr>
          <w:bCs/>
        </w:rPr>
        <w:t>taurin</w:t>
      </w:r>
      <w:proofErr w:type="spellEnd"/>
      <w:r w:rsidRPr="00F4732E">
        <w:rPr>
          <w:bCs/>
        </w:rPr>
        <w:t xml:space="preserve">, i to prema volumenu i sadržaju </w:t>
      </w:r>
      <w:proofErr w:type="spellStart"/>
      <w:r w:rsidRPr="00F4732E">
        <w:rPr>
          <w:bCs/>
        </w:rPr>
        <w:t>taurina</w:t>
      </w:r>
      <w:proofErr w:type="spellEnd"/>
      <w:r w:rsidRPr="00F4732E">
        <w:rPr>
          <w:bCs/>
        </w:rPr>
        <w:t xml:space="preserve"> za bezalkoholna pića koja sadrže </w:t>
      </w:r>
      <w:proofErr w:type="spellStart"/>
      <w:r w:rsidRPr="00F4732E">
        <w:rPr>
          <w:bCs/>
        </w:rPr>
        <w:t>taurin</w:t>
      </w:r>
      <w:proofErr w:type="spellEnd"/>
      <w:r w:rsidRPr="00F4732E">
        <w:rPr>
          <w:bCs/>
        </w:rPr>
        <w:t xml:space="preserve"> te prema volumenu i sadržaju metil-</w:t>
      </w:r>
      <w:proofErr w:type="spellStart"/>
      <w:r w:rsidRPr="00F4732E">
        <w:rPr>
          <w:bCs/>
        </w:rPr>
        <w:t>ksantina</w:t>
      </w:r>
      <w:proofErr w:type="spellEnd"/>
      <w:r w:rsidRPr="00F4732E">
        <w:rPr>
          <w:bCs/>
        </w:rPr>
        <w:t xml:space="preserve"> za bezalkoholna pića koja sadrže metil-</w:t>
      </w:r>
      <w:proofErr w:type="spellStart"/>
      <w:r w:rsidRPr="00F4732E">
        <w:rPr>
          <w:bCs/>
        </w:rPr>
        <w:t>ksantine</w:t>
      </w:r>
      <w:proofErr w:type="spellEnd"/>
      <w:r w:rsidRPr="00F4732E">
        <w:rPr>
          <w:bCs/>
        </w:rPr>
        <w:t xml:space="preserve">, a ne sadrže </w:t>
      </w:r>
      <w:proofErr w:type="spellStart"/>
      <w:r w:rsidRPr="00F4732E">
        <w:rPr>
          <w:bCs/>
        </w:rPr>
        <w:t>taurin</w:t>
      </w:r>
      <w:proofErr w:type="spellEnd"/>
      <w:r w:rsidRPr="00F4732E">
        <w:rPr>
          <w:bCs/>
        </w:rPr>
        <w:t xml:space="preserve">. S tim u vezi, a s obzirom da energetska pića, uobičajeno uz visoki sadržaj šećera, sadrže jednu ili obje prethodno navedene komponente, njihovo oporezivanje se vrši po višim iznosima u odnosu na ostala bezalkoholna pića. Također, provedeno je i povećanje trošarine na cigarete i ostale duhanske proizvode. Od ožujka 2021. godine provedeno je novo povećanje trošarina na cigarete pa sada specifična trošarina iznosi 400 kuna za 1000 komada cigareta, proporcionalna trošarina 34% od maloprodajne cijene cigareta, a minimalna trošarina na cigarete iznosi 888 kuna za 1000 komada cigareta. Trošarina je povećana i na sitno rezani duhan za savijanje cigareta i ostali duhan za pušenje te ista iznosi 860 kn za 1 kilogram te na cigare i </w:t>
      </w:r>
      <w:proofErr w:type="spellStart"/>
      <w:r w:rsidRPr="00F4732E">
        <w:rPr>
          <w:bCs/>
        </w:rPr>
        <w:t>cigarilose</w:t>
      </w:r>
      <w:proofErr w:type="spellEnd"/>
      <w:r w:rsidRPr="00F4732E">
        <w:rPr>
          <w:bCs/>
        </w:rPr>
        <w:t xml:space="preserve"> koja iznosi 860 kn za 1000 komada. Visina trošarine se povećava i za grijane duhanske </w:t>
      </w:r>
      <w:r w:rsidRPr="00F4732E">
        <w:rPr>
          <w:bCs/>
        </w:rPr>
        <w:lastRenderedPageBreak/>
        <w:t>proizvode i nove duhanske proizvode te iznosi 1400 kuna za jedan kilogram za grijane i 860 kn za kilogram za nove duhanske proizvode.</w:t>
      </w:r>
    </w:p>
    <w:p w14:paraId="137D37F7" w14:textId="5D6BAFD7" w:rsidR="00026487" w:rsidRPr="00F4732E" w:rsidRDefault="00026487" w:rsidP="00F4732E">
      <w:pPr>
        <w:pStyle w:val="Naslov"/>
        <w:jc w:val="left"/>
        <w:rPr>
          <w:b w:val="0"/>
          <w:bCs w:val="0"/>
        </w:rPr>
      </w:pPr>
    </w:p>
    <w:p w14:paraId="45D8B401" w14:textId="2A72F88C" w:rsidR="00026487" w:rsidRPr="00F4732E" w:rsidRDefault="00F44758" w:rsidP="00026487">
      <w:pPr>
        <w:pStyle w:val="Naslov"/>
        <w:keepNext/>
        <w:rPr>
          <w:b w:val="0"/>
          <w:bCs w:val="0"/>
        </w:rPr>
      </w:pPr>
      <w:r>
        <w:rPr>
          <w:b w:val="0"/>
          <w:bCs w:val="0"/>
        </w:rPr>
        <w:t>Bilješka</w:t>
      </w:r>
      <w:r w:rsidR="00026487" w:rsidRPr="00F4732E">
        <w:rPr>
          <w:b w:val="0"/>
          <w:bCs w:val="0"/>
        </w:rPr>
        <w:t xml:space="preserve"> 6.</w:t>
      </w:r>
    </w:p>
    <w:p w14:paraId="257E69D3" w14:textId="77777777" w:rsidR="00026487" w:rsidRPr="00F4732E" w:rsidRDefault="00026487" w:rsidP="00026487">
      <w:pPr>
        <w:pStyle w:val="Naslov"/>
        <w:keepNext/>
        <w:rPr>
          <w:b w:val="0"/>
          <w:bCs w:val="0"/>
        </w:rPr>
      </w:pPr>
      <w:r w:rsidRPr="00F4732E">
        <w:rPr>
          <w:b w:val="0"/>
          <w:bCs w:val="0"/>
        </w:rPr>
        <w:t>AOP 039 Doprinosi</w:t>
      </w:r>
    </w:p>
    <w:p w14:paraId="7DAE86DC" w14:textId="772CC1D9" w:rsidR="00026487" w:rsidRDefault="00026487" w:rsidP="00026487">
      <w:pPr>
        <w:spacing w:after="120"/>
        <w:jc w:val="both"/>
      </w:pPr>
      <w:r w:rsidRPr="00F4732E">
        <w:t xml:space="preserve">Prihodi od doprinosa u 2021. godini ostvareni su u iznosu od 9,4 milijuna kuna te bilježe međugodišnje smanjenje u odnosu na 2020. godinu kada su ostvareni u iznosu 11,7 milijuna kuna, </w:t>
      </w:r>
      <w:r w:rsidR="001F17AB" w:rsidRPr="00F4732E">
        <w:t>jer se uplate koje su evidentirane na ovim prihodima odnose</w:t>
      </w:r>
      <w:r w:rsidR="00C52BE0" w:rsidRPr="00F4732E">
        <w:t xml:space="preserve"> na uplatu dugovanja po osnovi doprinosa za zapošljavanje, budući da je isti ukinut od 1. siječnja 2019</w:t>
      </w:r>
      <w:r w:rsidRPr="00F4732E">
        <w:t>.</w:t>
      </w:r>
    </w:p>
    <w:p w14:paraId="0B1586C4" w14:textId="77777777" w:rsidR="00F4732E" w:rsidRDefault="00F4732E" w:rsidP="00026487">
      <w:pPr>
        <w:spacing w:after="120"/>
        <w:jc w:val="both"/>
      </w:pPr>
    </w:p>
    <w:p w14:paraId="2AB53B9D" w14:textId="77777777" w:rsidR="00305FED" w:rsidRPr="00F4732E" w:rsidRDefault="00305FED" w:rsidP="00305FED">
      <w:pPr>
        <w:pStyle w:val="Naslov"/>
        <w:keepNext/>
        <w:rPr>
          <w:b w:val="0"/>
          <w:bCs w:val="0"/>
        </w:rPr>
      </w:pPr>
      <w:r w:rsidRPr="00F4732E">
        <w:rPr>
          <w:b w:val="0"/>
          <w:bCs w:val="0"/>
        </w:rPr>
        <w:t>Bilješka 7.</w:t>
      </w:r>
    </w:p>
    <w:p w14:paraId="05BCC11E" w14:textId="017994C6" w:rsidR="00305FED" w:rsidRPr="00F4732E" w:rsidRDefault="00305FED" w:rsidP="00305FED">
      <w:pPr>
        <w:pStyle w:val="Naslov"/>
        <w:keepNext/>
        <w:rPr>
          <w:b w:val="0"/>
          <w:bCs w:val="0"/>
          <w:color w:val="FF0000"/>
        </w:rPr>
      </w:pPr>
      <w:r w:rsidRPr="00F4732E">
        <w:rPr>
          <w:b w:val="0"/>
          <w:bCs w:val="0"/>
        </w:rPr>
        <w:t>AOP 052 Tekuće pomoći od institucija i tijela EU</w:t>
      </w:r>
      <w:r w:rsidR="007F2D4C">
        <w:rPr>
          <w:b w:val="0"/>
          <w:bCs w:val="0"/>
        </w:rPr>
        <w:t>,</w:t>
      </w:r>
      <w:r w:rsidRPr="00F4732E">
        <w:rPr>
          <w:b w:val="0"/>
          <w:bCs w:val="0"/>
        </w:rPr>
        <w:t xml:space="preserve"> AOP 053 Kapitalne pomoći od institucija i tijela EU</w:t>
      </w:r>
    </w:p>
    <w:p w14:paraId="55DB445F" w14:textId="6911E76A" w:rsidR="001F17AB" w:rsidRPr="00F4732E" w:rsidRDefault="00305FED" w:rsidP="0098535D">
      <w:pPr>
        <w:tabs>
          <w:tab w:val="decimal" w:pos="7380"/>
        </w:tabs>
        <w:jc w:val="both"/>
      </w:pPr>
      <w:r w:rsidRPr="00F4732E">
        <w:t>Pravilnikom o izmjenama i dopunama Pravilnika o proračunskom računovodstvu i Računskom planu (Narodne novine, broj 108/20), čije se odredbe primjenjuju u knjigovodstvenim evidencijama od 1. siječnja 2021. i u financijskom izvještavanju za izvještajna razdoblja od 1. siječnja 2021. godine, ukinuta je prethodno važeća odredba prema kojoj su se ostvarena sredstva pomoći od institucija i tijela EU i pomoći iz državnog proračuna temeljem prijenosa EU sredstava (tekuće i kapitalne) evidentirala kao obveza, a priznavala u prihode izvještajnog razdoblja razmjerno troškovima provedbe ugovorenih programa i projekata. Slijedom navedenog, od 1. siječnja 2021. primljena sredstva EU pomoći za odobrene projekte u poslovnim knjigam</w:t>
      </w:r>
      <w:r w:rsidR="001F17AB" w:rsidRPr="00F4732E">
        <w:t>a odmah se priznaju kao prihod.</w:t>
      </w:r>
    </w:p>
    <w:p w14:paraId="5ABBC0FC" w14:textId="405BF3F5" w:rsidR="00305FED" w:rsidRPr="00F4732E" w:rsidRDefault="001F17AB" w:rsidP="0098535D">
      <w:pPr>
        <w:tabs>
          <w:tab w:val="decimal" w:pos="7380"/>
        </w:tabs>
        <w:jc w:val="both"/>
      </w:pPr>
      <w:r w:rsidRPr="00F4732E">
        <w:t>P</w:t>
      </w:r>
      <w:r w:rsidR="00305FED" w:rsidRPr="00F4732E">
        <w:t xml:space="preserve">rihodi od tekućih pomoći od institucija </w:t>
      </w:r>
      <w:r w:rsidRPr="00F4732E">
        <w:t>i tijela EU u 2021. su ostvareni</w:t>
      </w:r>
      <w:r w:rsidR="00305FED" w:rsidRPr="00F4732E">
        <w:t xml:space="preserve"> u iznosu od 2,8 milijardi kuna, u odnosu na 2,5 milijardi kuna ostvareno u </w:t>
      </w:r>
      <w:r w:rsidRPr="00F4732E">
        <w:t>2020. godini. Prihodi od kapitalnih</w:t>
      </w:r>
      <w:r w:rsidR="00305FED" w:rsidRPr="00F4732E">
        <w:t xml:space="preserve"> pomoći od institucija i tijela EU u 2021. su ostvareni u iznosu od 8.866.777 k</w:t>
      </w:r>
      <w:r w:rsidRPr="00F4732E">
        <w:t>u</w:t>
      </w:r>
      <w:r w:rsidR="00305FED" w:rsidRPr="00F4732E">
        <w:t>n</w:t>
      </w:r>
      <w:r w:rsidRPr="00F4732E">
        <w:t>a</w:t>
      </w:r>
      <w:r w:rsidR="00305FED" w:rsidRPr="00F4732E">
        <w:t xml:space="preserve">, što je 243,5% više u odnosu na ostvarenje u 2020. Od ukupnog iznosa tekućih pomoći </w:t>
      </w:r>
      <w:r w:rsidR="00A36EA4" w:rsidRPr="00F4732E">
        <w:t>od EU evidentiranog u okviru navedenog prihoda</w:t>
      </w:r>
      <w:r w:rsidR="00305FED" w:rsidRPr="00F4732E">
        <w:t>, 2,7 milijardi kuna se odnosi na refundacije Europskog poljoprivrednog jamstvenog fonda (EPJF).</w:t>
      </w:r>
    </w:p>
    <w:p w14:paraId="39C7AF08" w14:textId="77777777" w:rsidR="0098535D" w:rsidRPr="00F4732E" w:rsidRDefault="0098535D" w:rsidP="0098535D">
      <w:pPr>
        <w:pStyle w:val="Naslov"/>
        <w:keepNext/>
        <w:rPr>
          <w:b w:val="0"/>
          <w:bCs w:val="0"/>
        </w:rPr>
      </w:pPr>
    </w:p>
    <w:p w14:paraId="3C929C4D" w14:textId="77777777" w:rsidR="0098535D" w:rsidRPr="00F4732E" w:rsidRDefault="0098535D" w:rsidP="0098535D">
      <w:pPr>
        <w:pStyle w:val="Naslov"/>
        <w:keepNext/>
        <w:rPr>
          <w:b w:val="0"/>
          <w:bCs w:val="0"/>
        </w:rPr>
      </w:pPr>
      <w:r w:rsidRPr="00F4732E">
        <w:rPr>
          <w:b w:val="0"/>
          <w:bCs w:val="0"/>
        </w:rPr>
        <w:t xml:space="preserve">Bilješka 8. </w:t>
      </w:r>
    </w:p>
    <w:p w14:paraId="5F82FA02" w14:textId="77777777" w:rsidR="0098535D" w:rsidRPr="00F4732E" w:rsidRDefault="0098535D" w:rsidP="0098535D">
      <w:pPr>
        <w:pStyle w:val="Naslov"/>
        <w:keepNext/>
        <w:rPr>
          <w:b w:val="0"/>
          <w:bCs w:val="0"/>
        </w:rPr>
      </w:pPr>
      <w:r w:rsidRPr="00F4732E">
        <w:rPr>
          <w:b w:val="0"/>
          <w:bCs w:val="0"/>
        </w:rPr>
        <w:t>AOP 079 do 085 Prihodi od financijske imovine</w:t>
      </w:r>
    </w:p>
    <w:p w14:paraId="3EBDF5DE" w14:textId="40A3B63B" w:rsidR="0098535D" w:rsidRPr="00F4732E" w:rsidRDefault="0098535D" w:rsidP="0098535D">
      <w:pPr>
        <w:spacing w:after="200"/>
        <w:jc w:val="both"/>
        <w:rPr>
          <w:color w:val="000000"/>
        </w:rPr>
      </w:pPr>
      <w:r w:rsidRPr="00F4732E">
        <w:rPr>
          <w:color w:val="000000"/>
        </w:rPr>
        <w:t xml:space="preserve">U okviru prihoda od financijske imovine, prihodi od kamata na oročena sredstva i depozite po viđenju ostvareni su u iznosu od 7.737.354 </w:t>
      </w:r>
      <w:r w:rsidRPr="00F4732E">
        <w:t>kuna</w:t>
      </w:r>
      <w:r w:rsidRPr="00F4732E">
        <w:rPr>
          <w:color w:val="000000"/>
        </w:rPr>
        <w:t>, odnosno 28,3% manje u odnosu na ostvarenje 2020. godine. Ovi prihodi odnose se na kamate na kratkoročna oročavanja povremenih viškova slobodnih novčanih sredstava. Prihodi od zateznih kamata u 2021. godini ostvareni su u iznosu od 207.469.415 kuna, odnosno 31,2% više u odnosu na prethodno izvještajno razdoblje. Razlog navedenog povećanja su više ostvareni prihodi od kamata naplaćenih iz</w:t>
      </w:r>
      <w:r w:rsidR="00BB26DD" w:rsidRPr="00F4732E">
        <w:rPr>
          <w:color w:val="000000"/>
        </w:rPr>
        <w:t xml:space="preserve"> poreznih prihoda i doprinosa u iznosu od</w:t>
      </w:r>
      <w:r w:rsidRPr="00F4732E">
        <w:rPr>
          <w:color w:val="000000"/>
        </w:rPr>
        <w:t xml:space="preserve"> 70 milijuna</w:t>
      </w:r>
      <w:r w:rsidR="00BB26DD" w:rsidRPr="00F4732E">
        <w:rPr>
          <w:color w:val="000000"/>
        </w:rPr>
        <w:t xml:space="preserve"> kuna</w:t>
      </w:r>
      <w:r w:rsidRPr="00F4732E">
        <w:rPr>
          <w:color w:val="000000"/>
        </w:rPr>
        <w:t xml:space="preserve"> u 2021. godini u odnosu na ostvarenje u 2020.</w:t>
      </w:r>
      <w:r w:rsidR="00A36EA4" w:rsidRPr="00F4732E">
        <w:rPr>
          <w:color w:val="000000"/>
        </w:rPr>
        <w:t xml:space="preserve"> godini.</w:t>
      </w:r>
    </w:p>
    <w:p w14:paraId="188E2902" w14:textId="0CE1CE5B" w:rsidR="0098535D" w:rsidRPr="00F4732E" w:rsidRDefault="0098535D" w:rsidP="0098535D">
      <w:pPr>
        <w:spacing w:after="200"/>
        <w:jc w:val="both"/>
        <w:rPr>
          <w:color w:val="000000"/>
        </w:rPr>
      </w:pPr>
      <w:r w:rsidRPr="00F4732E">
        <w:rPr>
          <w:color w:val="000000"/>
        </w:rPr>
        <w:t>Prihodi od pozitivnih tečajnih razlika i razlika zbog primjene v</w:t>
      </w:r>
      <w:r w:rsidR="00BB26DD" w:rsidRPr="00F4732E">
        <w:rPr>
          <w:color w:val="000000"/>
        </w:rPr>
        <w:t>alutne klauzule u 2021. manji su</w:t>
      </w:r>
      <w:r w:rsidRPr="00F4732E">
        <w:rPr>
          <w:color w:val="000000"/>
        </w:rPr>
        <w:t xml:space="preserve"> u odnosu na ostvarenje u 2020. za 88,3%. Razlog tomu je </w:t>
      </w:r>
      <w:r w:rsidR="00A36EA4" w:rsidRPr="00F4732E">
        <w:rPr>
          <w:color w:val="000000"/>
        </w:rPr>
        <w:t xml:space="preserve">značajan </w:t>
      </w:r>
      <w:r w:rsidRPr="00F4732E">
        <w:rPr>
          <w:color w:val="000000"/>
        </w:rPr>
        <w:t>prihod od tečajnih razlika na obvezni</w:t>
      </w:r>
      <w:r w:rsidR="00F44758">
        <w:rPr>
          <w:color w:val="000000"/>
        </w:rPr>
        <w:t>ce u iznosu od 519.819.533,25 kuna</w:t>
      </w:r>
      <w:r w:rsidRPr="00F4732E">
        <w:rPr>
          <w:color w:val="000000"/>
        </w:rPr>
        <w:t xml:space="preserve"> </w:t>
      </w:r>
      <w:r w:rsidR="00A36EA4" w:rsidRPr="00F4732E">
        <w:rPr>
          <w:color w:val="000000"/>
        </w:rPr>
        <w:t>koji je bio</w:t>
      </w:r>
      <w:r w:rsidR="00C94060" w:rsidRPr="00F4732E">
        <w:rPr>
          <w:color w:val="000000"/>
        </w:rPr>
        <w:t xml:space="preserve"> </w:t>
      </w:r>
      <w:r w:rsidRPr="00F4732E">
        <w:rPr>
          <w:color w:val="000000"/>
        </w:rPr>
        <w:t>ostvaren u 2020. godini.</w:t>
      </w:r>
    </w:p>
    <w:p w14:paraId="20C7DFA9" w14:textId="77777777" w:rsidR="0098535D" w:rsidRPr="00F4732E" w:rsidRDefault="0098535D" w:rsidP="0098535D">
      <w:pPr>
        <w:spacing w:after="200"/>
        <w:jc w:val="both"/>
        <w:rPr>
          <w:color w:val="000000"/>
          <w:shd w:val="clear" w:color="auto" w:fill="FFFFFF"/>
        </w:rPr>
      </w:pPr>
      <w:r w:rsidRPr="00F4732E">
        <w:rPr>
          <w:color w:val="000000"/>
        </w:rPr>
        <w:t xml:space="preserve">Prihodi od dividendi ostvareni su u 2021. u iznosu od 355.534.708 </w:t>
      </w:r>
      <w:r w:rsidRPr="00F4732E">
        <w:t>kuna</w:t>
      </w:r>
      <w:r w:rsidRPr="00F4732E">
        <w:rPr>
          <w:color w:val="000000"/>
        </w:rPr>
        <w:t xml:space="preserve">, što je povećanje od 304,2% u odnosu na ostvarenje u 2020. </w:t>
      </w:r>
      <w:r w:rsidRPr="00F4732E">
        <w:rPr>
          <w:color w:val="000000"/>
          <w:shd w:val="clear" w:color="auto" w:fill="FFFFFF"/>
        </w:rPr>
        <w:t>Osnovni razlog navedenog povećanja je odgoda uplate dividende INA-e koja je umjesto u 2020. godini uplaćena početkom 2021. Od ostalih prihoda od dividendi ostvarenih u 2021. veći iznos odnosi se na uplatu dividende Janaf d.d. u iznosu od 42,9 milijuna kuna.</w:t>
      </w:r>
    </w:p>
    <w:p w14:paraId="2377D476" w14:textId="13C2D046" w:rsidR="00F4732E" w:rsidRPr="00F4732E" w:rsidRDefault="0098535D" w:rsidP="0098535D">
      <w:pPr>
        <w:spacing w:after="200"/>
        <w:jc w:val="both"/>
      </w:pPr>
      <w:r w:rsidRPr="00F4732E">
        <w:rPr>
          <w:color w:val="000000"/>
        </w:rPr>
        <w:lastRenderedPageBreak/>
        <w:t xml:space="preserve">Nadalje, ostvareni prihodi iz dobiti trgovačkih društava, kreditnih i ostalih financijskih institucija po posebnim propisima u 2021. veći su u odnosu na </w:t>
      </w:r>
      <w:r w:rsidR="00A36EA4" w:rsidRPr="00F4732E">
        <w:rPr>
          <w:color w:val="000000"/>
        </w:rPr>
        <w:t xml:space="preserve">ostvarenje u </w:t>
      </w:r>
      <w:r w:rsidRPr="00F4732E">
        <w:rPr>
          <w:color w:val="000000"/>
        </w:rPr>
        <w:t xml:space="preserve">2020. za 21,3%. </w:t>
      </w:r>
      <w:r w:rsidRPr="00F4732E">
        <w:t>Najveći iznos prihoda po osnovi dobiti trgovačkih društava i banaka u vlasništvu države uplatila je Hrvatska elektroprivreda d.d. i to u iznosu od 840,6 milijuna kuna, a slijedi Agencija za komercijalnu djelatnost d.o.o. s uplatom od 37,7 milijuna kuna, te Hrvatske šume d.o.o. s uplatom od 32,8 milijuna kuna. Uplata dobiti HNB-a u 2021. godini iznosila je 212,8 milijuna kuna.</w:t>
      </w:r>
    </w:p>
    <w:p w14:paraId="06319600" w14:textId="77777777" w:rsidR="004C306A" w:rsidRPr="00F4732E" w:rsidRDefault="004C306A" w:rsidP="004C306A">
      <w:pPr>
        <w:pStyle w:val="Naslov"/>
        <w:keepNext/>
        <w:rPr>
          <w:b w:val="0"/>
          <w:bCs w:val="0"/>
          <w:color w:val="000000" w:themeColor="text1"/>
        </w:rPr>
      </w:pPr>
      <w:r w:rsidRPr="00F4732E">
        <w:rPr>
          <w:b w:val="0"/>
          <w:bCs w:val="0"/>
          <w:color w:val="000000" w:themeColor="text1"/>
        </w:rPr>
        <w:t>Bilješka 9.</w:t>
      </w:r>
    </w:p>
    <w:p w14:paraId="375438D2" w14:textId="77777777" w:rsidR="004C306A" w:rsidRPr="00F4732E" w:rsidRDefault="004C306A" w:rsidP="004C306A">
      <w:pPr>
        <w:pStyle w:val="Naslov"/>
        <w:keepNext/>
        <w:rPr>
          <w:b w:val="0"/>
          <w:bCs w:val="0"/>
          <w:color w:val="000000" w:themeColor="text1"/>
        </w:rPr>
      </w:pPr>
      <w:r w:rsidRPr="00F4732E">
        <w:rPr>
          <w:b w:val="0"/>
          <w:bCs w:val="0"/>
          <w:color w:val="000000" w:themeColor="text1"/>
        </w:rPr>
        <w:t>AOP 087 Naknade za koncesije</w:t>
      </w:r>
    </w:p>
    <w:p w14:paraId="5DE6CBE3" w14:textId="19BFA21B" w:rsidR="004C306A" w:rsidRDefault="004C306A" w:rsidP="004C306A">
      <w:pPr>
        <w:jc w:val="both"/>
        <w:rPr>
          <w:color w:val="000000" w:themeColor="text1"/>
        </w:rPr>
      </w:pPr>
      <w:r w:rsidRPr="00F4732E">
        <w:rPr>
          <w:rFonts w:eastAsia="Calibri"/>
          <w:color w:val="000000" w:themeColor="text1"/>
        </w:rPr>
        <w:t>S osnove naknada za koncesije ukupno je u 2021. ostvaren</w:t>
      </w:r>
      <w:r w:rsidR="00A36EA4" w:rsidRPr="00F4732E">
        <w:rPr>
          <w:rFonts w:eastAsia="Calibri"/>
          <w:color w:val="000000" w:themeColor="text1"/>
        </w:rPr>
        <w:t>o 296</w:t>
      </w:r>
      <w:r w:rsidRPr="00F4732E">
        <w:rPr>
          <w:rFonts w:eastAsia="Calibri"/>
          <w:color w:val="000000" w:themeColor="text1"/>
        </w:rPr>
        <w:t xml:space="preserve">,3 milijuna kuna, što je 22,6% više u odnosu na ostvarene prihode u 2020. </w:t>
      </w:r>
      <w:r w:rsidRPr="00F4732E">
        <w:rPr>
          <w:color w:val="000000" w:themeColor="text1"/>
        </w:rPr>
        <w:t>Tijekom 2021. godine u državni proračun počele su se uplaćivati dvije nove vrste prihoda od koncesija koje se odnose na lučke uprave, što je utjecalo i na povećanje u ostvarenju prihoda.</w:t>
      </w:r>
    </w:p>
    <w:p w14:paraId="67BAA665" w14:textId="77777777" w:rsidR="00F4732E" w:rsidRPr="00F4732E" w:rsidRDefault="00F4732E" w:rsidP="004C306A">
      <w:pPr>
        <w:jc w:val="both"/>
        <w:rPr>
          <w:rFonts w:eastAsia="Calibri"/>
          <w:color w:val="000000" w:themeColor="text1"/>
        </w:rPr>
      </w:pPr>
    </w:p>
    <w:p w14:paraId="512C23ED" w14:textId="754CF619" w:rsidR="00866431" w:rsidRPr="00F4732E" w:rsidRDefault="00F4732E" w:rsidP="00866431">
      <w:pPr>
        <w:jc w:val="center"/>
        <w:rPr>
          <w:rFonts w:eastAsia="Calibri"/>
          <w:sz w:val="28"/>
          <w:szCs w:val="28"/>
        </w:rPr>
      </w:pPr>
      <w:r w:rsidRPr="00F4732E">
        <w:rPr>
          <w:rFonts w:eastAsia="Calibri"/>
          <w:sz w:val="28"/>
          <w:szCs w:val="28"/>
        </w:rPr>
        <w:t>Bilješka 10</w:t>
      </w:r>
      <w:r w:rsidR="00866431" w:rsidRPr="00F4732E">
        <w:rPr>
          <w:rFonts w:eastAsia="Calibri"/>
          <w:sz w:val="28"/>
          <w:szCs w:val="28"/>
        </w:rPr>
        <w:t>.</w:t>
      </w:r>
    </w:p>
    <w:p w14:paraId="256B1FE1" w14:textId="77777777" w:rsidR="00866431" w:rsidRPr="00F4732E" w:rsidRDefault="00866431" w:rsidP="00866431">
      <w:pPr>
        <w:jc w:val="center"/>
        <w:rPr>
          <w:rFonts w:eastAsia="Calibri"/>
          <w:sz w:val="28"/>
          <w:szCs w:val="28"/>
        </w:rPr>
      </w:pPr>
      <w:r w:rsidRPr="00F4732E">
        <w:rPr>
          <w:rFonts w:eastAsia="Calibri"/>
          <w:sz w:val="28"/>
          <w:szCs w:val="28"/>
        </w:rPr>
        <w:t>AOP 089 Naknada za korištenje nefinancijske imovine</w:t>
      </w:r>
    </w:p>
    <w:p w14:paraId="19B2B9FB" w14:textId="2051705D" w:rsidR="00866431" w:rsidRPr="00F4732E" w:rsidRDefault="00866431" w:rsidP="00547206">
      <w:pPr>
        <w:jc w:val="both"/>
        <w:rPr>
          <w:rFonts w:eastAsia="Calibri"/>
        </w:rPr>
      </w:pPr>
      <w:r w:rsidRPr="00F4732E">
        <w:rPr>
          <w:rFonts w:eastAsia="Calibri"/>
        </w:rPr>
        <w:t xml:space="preserve">Prihodi od naknada za korištenje nefinancijske imovine u 2021. godini su ostvareni u iznosu od 398.306.415 kuna, odnosu veći su za 132,7% u odnosu na ostvarenje u 2020. godini. </w:t>
      </w:r>
      <w:r w:rsidR="00EA4B51" w:rsidRPr="00F4732E">
        <w:rPr>
          <w:rFonts w:eastAsia="Calibri"/>
        </w:rPr>
        <w:t xml:space="preserve">Ostvareni prihodi odnose se na naknade za eksploataciju mineralnih sirovina na zemljištu u vlasništvu </w:t>
      </w:r>
      <w:r w:rsidRPr="00F4732E">
        <w:rPr>
          <w:rFonts w:eastAsia="Calibri"/>
        </w:rPr>
        <w:t>R</w:t>
      </w:r>
      <w:r w:rsidR="00EA4B51" w:rsidRPr="00F4732E">
        <w:rPr>
          <w:rFonts w:eastAsia="Calibri"/>
        </w:rPr>
        <w:t xml:space="preserve">epublike </w:t>
      </w:r>
      <w:r w:rsidRPr="00F4732E">
        <w:rPr>
          <w:rFonts w:eastAsia="Calibri"/>
        </w:rPr>
        <w:t>H</w:t>
      </w:r>
      <w:r w:rsidR="00EA4B51" w:rsidRPr="00F4732E">
        <w:rPr>
          <w:rFonts w:eastAsia="Calibri"/>
        </w:rPr>
        <w:t xml:space="preserve">rvatske te na </w:t>
      </w:r>
      <w:proofErr w:type="spellStart"/>
      <w:r w:rsidR="00EA4B51" w:rsidRPr="00F4732E">
        <w:rPr>
          <w:rFonts w:eastAsia="Calibri"/>
        </w:rPr>
        <w:t>lovozakupnine</w:t>
      </w:r>
      <w:proofErr w:type="spellEnd"/>
      <w:r w:rsidR="00EA4B51" w:rsidRPr="00F4732E">
        <w:rPr>
          <w:rFonts w:eastAsia="Calibri"/>
        </w:rPr>
        <w:t>.</w:t>
      </w:r>
    </w:p>
    <w:p w14:paraId="25FBC3A8" w14:textId="7FA38978" w:rsidR="005B7FAD" w:rsidRPr="00F4732E" w:rsidRDefault="005B7FAD" w:rsidP="00AA5F2B">
      <w:pPr>
        <w:rPr>
          <w:rFonts w:eastAsia="Calibri"/>
        </w:rPr>
      </w:pPr>
    </w:p>
    <w:p w14:paraId="3A16FC8E" w14:textId="77777777" w:rsidR="005B7FAD" w:rsidRPr="00F4732E" w:rsidRDefault="005B7FAD" w:rsidP="00AA5F2B">
      <w:pPr>
        <w:rPr>
          <w:rFonts w:eastAsia="Calibri"/>
        </w:rPr>
      </w:pPr>
    </w:p>
    <w:p w14:paraId="59691AE1" w14:textId="77777777" w:rsidR="005B7FAD" w:rsidRPr="00F4732E" w:rsidRDefault="005B7FAD" w:rsidP="005B7FAD">
      <w:pPr>
        <w:pStyle w:val="Naslov"/>
        <w:keepNext/>
        <w:rPr>
          <w:b w:val="0"/>
          <w:bCs w:val="0"/>
        </w:rPr>
      </w:pPr>
      <w:r w:rsidRPr="00F4732E">
        <w:rPr>
          <w:b w:val="0"/>
          <w:bCs w:val="0"/>
        </w:rPr>
        <w:t>Bilješka 11.</w:t>
      </w:r>
    </w:p>
    <w:p w14:paraId="159E9E33" w14:textId="1A70381F" w:rsidR="005B7FAD" w:rsidRPr="00F3171F" w:rsidRDefault="00521A01" w:rsidP="00F3171F">
      <w:pPr>
        <w:pStyle w:val="Naslov"/>
        <w:keepNext/>
        <w:rPr>
          <w:b w:val="0"/>
          <w:bCs w:val="0"/>
        </w:rPr>
      </w:pPr>
      <w:r w:rsidRPr="00F4732E">
        <w:rPr>
          <w:b w:val="0"/>
          <w:bCs w:val="0"/>
        </w:rPr>
        <w:t>AOP 096</w:t>
      </w:r>
      <w:r w:rsidR="005B7FAD" w:rsidRPr="00F4732E">
        <w:rPr>
          <w:b w:val="0"/>
          <w:bCs w:val="0"/>
        </w:rPr>
        <w:t xml:space="preserve"> Prihodi od kamata na dane zajmove kreditnim i ostalim financijskim instit</w:t>
      </w:r>
      <w:r w:rsidRPr="00F4732E">
        <w:rPr>
          <w:b w:val="0"/>
          <w:bCs w:val="0"/>
        </w:rPr>
        <w:t>ucijama u javnom sektoru</w:t>
      </w:r>
      <w:r w:rsidR="007F2D4C">
        <w:rPr>
          <w:b w:val="0"/>
          <w:bCs w:val="0"/>
        </w:rPr>
        <w:t>,</w:t>
      </w:r>
      <w:r w:rsidRPr="00F4732E">
        <w:rPr>
          <w:b w:val="0"/>
          <w:bCs w:val="0"/>
        </w:rPr>
        <w:t xml:space="preserve"> AOP 097</w:t>
      </w:r>
      <w:r w:rsidR="005B7FAD" w:rsidRPr="00F4732E">
        <w:rPr>
          <w:b w:val="0"/>
          <w:bCs w:val="0"/>
        </w:rPr>
        <w:t xml:space="preserve"> Prihodi od kamata na dane zajmove trgovačkim društvima u javnom sektoru, AOP 09</w:t>
      </w:r>
      <w:r w:rsidRPr="00F4732E">
        <w:rPr>
          <w:b w:val="0"/>
          <w:bCs w:val="0"/>
        </w:rPr>
        <w:t>9</w:t>
      </w:r>
      <w:r w:rsidR="005B7FAD" w:rsidRPr="00F4732E">
        <w:t xml:space="preserve"> </w:t>
      </w:r>
      <w:r w:rsidR="005B7FAD" w:rsidRPr="00F4732E">
        <w:rPr>
          <w:b w:val="0"/>
          <w:bCs w:val="0"/>
        </w:rPr>
        <w:t>Prihodi od kamata na dane zajmove trgovačkim društvima i obrtnicim</w:t>
      </w:r>
      <w:r w:rsidRPr="00F4732E">
        <w:rPr>
          <w:b w:val="0"/>
          <w:bCs w:val="0"/>
        </w:rPr>
        <w:t>a izvan javnog sektora i AOP 100</w:t>
      </w:r>
      <w:r w:rsidR="005B7FAD" w:rsidRPr="00F4732E">
        <w:rPr>
          <w:b w:val="0"/>
          <w:bCs w:val="0"/>
        </w:rPr>
        <w:t xml:space="preserve"> Prihodi od kamata na dane zajmove drugim razinama vlasti</w:t>
      </w:r>
    </w:p>
    <w:p w14:paraId="44E76DD3" w14:textId="05D618E5" w:rsidR="00C47688" w:rsidRPr="00F4732E" w:rsidRDefault="005B7FAD" w:rsidP="00A16065">
      <w:pPr>
        <w:pStyle w:val="Naslov"/>
        <w:keepNext/>
        <w:jc w:val="both"/>
        <w:rPr>
          <w:color w:val="000000"/>
        </w:rPr>
      </w:pPr>
      <w:r w:rsidRPr="00F4732E">
        <w:rPr>
          <w:b w:val="0"/>
          <w:bCs w:val="0"/>
          <w:sz w:val="24"/>
        </w:rPr>
        <w:t>U 2021. nije bilo ostvarenja prihoda od kamata na</w:t>
      </w:r>
      <w:r w:rsidRPr="00F4732E">
        <w:t xml:space="preserve"> </w:t>
      </w:r>
      <w:r w:rsidRPr="00F4732E">
        <w:rPr>
          <w:b w:val="0"/>
          <w:bCs w:val="0"/>
          <w:sz w:val="24"/>
        </w:rPr>
        <w:t>dane zajmove kreditnim i ostalim financijskim institucijama u javnom sektoru</w:t>
      </w:r>
      <w:r w:rsidR="00866431" w:rsidRPr="00F4732E">
        <w:rPr>
          <w:b w:val="0"/>
          <w:bCs w:val="0"/>
          <w:sz w:val="24"/>
        </w:rPr>
        <w:t>,</w:t>
      </w:r>
      <w:r w:rsidRPr="00F4732E">
        <w:rPr>
          <w:b w:val="0"/>
          <w:bCs w:val="0"/>
          <w:sz w:val="24"/>
        </w:rPr>
        <w:t xml:space="preserve"> dok je u 2020. u okviru navedenih prihoda ostvareno 6.262.500 kuna. Naime, Republika Hrvatska - Ministarstvo financija i Hrvatska banka za obnovu i razvitak dana 26. lipnja 2020. sklopili su Ugovor o zajmu broj: 1/2020, radi ublažavanja negativnih posljedica epidemije </w:t>
      </w:r>
      <w:proofErr w:type="spellStart"/>
      <w:r w:rsidRPr="00F4732E">
        <w:rPr>
          <w:b w:val="0"/>
          <w:bCs w:val="0"/>
          <w:sz w:val="24"/>
        </w:rPr>
        <w:t>koronavirusa</w:t>
      </w:r>
      <w:proofErr w:type="spellEnd"/>
      <w:r w:rsidRPr="00F4732E">
        <w:rPr>
          <w:b w:val="0"/>
          <w:bCs w:val="0"/>
          <w:sz w:val="24"/>
        </w:rPr>
        <w:t xml:space="preserve"> i provođenja mjera za očuvanje razine go</w:t>
      </w:r>
      <w:r w:rsidR="00F3171F">
        <w:rPr>
          <w:b w:val="0"/>
          <w:bCs w:val="0"/>
          <w:sz w:val="24"/>
        </w:rPr>
        <w:t>s</w:t>
      </w:r>
      <w:r w:rsidRPr="00F4732E">
        <w:rPr>
          <w:b w:val="0"/>
          <w:bCs w:val="0"/>
          <w:sz w:val="24"/>
        </w:rPr>
        <w:t xml:space="preserve">podarske aktivnosti, likvidnosti gospodarskih subjekata te očuvanja radnih mjesta. Temeljem navedenog zajma u 2020. ostvaren je prihod od kamata na dane zajmove kreditnim i ostalim financijskim institucijama u  javnom sektoru u iznosu od 6.262.500 kuna. </w:t>
      </w:r>
    </w:p>
    <w:p w14:paraId="748EF12A" w14:textId="77777777" w:rsidR="00C47688" w:rsidRPr="00F4732E" w:rsidRDefault="00C47688" w:rsidP="00A16065">
      <w:pPr>
        <w:shd w:val="clear" w:color="auto" w:fill="FFFFFF"/>
        <w:jc w:val="both"/>
        <w:rPr>
          <w:color w:val="000000"/>
        </w:rPr>
      </w:pPr>
    </w:p>
    <w:p w14:paraId="48E99969" w14:textId="3F60A0E3" w:rsidR="00C47688" w:rsidRPr="00F4732E" w:rsidRDefault="005B7FAD" w:rsidP="00A16065">
      <w:pPr>
        <w:shd w:val="clear" w:color="auto" w:fill="FFFFFF"/>
        <w:jc w:val="both"/>
        <w:rPr>
          <w:color w:val="000000"/>
        </w:rPr>
      </w:pPr>
      <w:r w:rsidRPr="00F4732E">
        <w:rPr>
          <w:color w:val="000000"/>
        </w:rPr>
        <w:t xml:space="preserve">Prihodi od kamata na dane zajmove trgovačkim društvima u javnom sektoru u 2021. ostvareni su u iznosu od 14.680.555 kuna dok je u 2020. ostvareno 934.853 kuna navedenih prihoda. Razlog međugodišnjeg povećanja </w:t>
      </w:r>
      <w:r w:rsidR="006867F3" w:rsidRPr="00F4732E">
        <w:rPr>
          <w:color w:val="000000"/>
        </w:rPr>
        <w:t>je prihod od kamata u iznosu od 13.687.500 kuna uplaćen od strane Hrvatske banke za obnovu i razvitak temeljem Ugovora o zajmu broj: 1/2020,</w:t>
      </w:r>
      <w:r w:rsidR="00521A01" w:rsidRPr="00F4732E">
        <w:t xml:space="preserve">  sklopljenog</w:t>
      </w:r>
      <w:r w:rsidR="006867F3" w:rsidRPr="00F4732E">
        <w:t xml:space="preserve"> između </w:t>
      </w:r>
      <w:r w:rsidR="006867F3" w:rsidRPr="00F4732E">
        <w:rPr>
          <w:color w:val="000000"/>
        </w:rPr>
        <w:t xml:space="preserve">Republike Hrvatske - Ministarstva financija i Hrvatske banke za obnovu i razvitak dana 26. lipnja 2020. radi ublažavanja negativnih posljedica epidemije </w:t>
      </w:r>
      <w:proofErr w:type="spellStart"/>
      <w:r w:rsidR="006867F3" w:rsidRPr="00F4732E">
        <w:rPr>
          <w:color w:val="000000"/>
        </w:rPr>
        <w:t>koronavirusa</w:t>
      </w:r>
      <w:proofErr w:type="spellEnd"/>
      <w:r w:rsidR="006867F3" w:rsidRPr="00F4732E">
        <w:rPr>
          <w:color w:val="000000"/>
        </w:rPr>
        <w:t xml:space="preserve"> i provođenja mjera za očuvanje razine </w:t>
      </w:r>
      <w:r w:rsidR="00521A01" w:rsidRPr="00F4732E">
        <w:rPr>
          <w:color w:val="000000"/>
        </w:rPr>
        <w:t>gospodarske</w:t>
      </w:r>
      <w:r w:rsidR="006867F3" w:rsidRPr="00F4732E">
        <w:rPr>
          <w:color w:val="000000"/>
        </w:rPr>
        <w:t xml:space="preserve"> aktivnosti, likvidnosti gospodarskih subjekata te očuvanja radnih mjesta</w:t>
      </w:r>
      <w:r w:rsidR="00F0132D" w:rsidRPr="00F4732E">
        <w:rPr>
          <w:color w:val="000000"/>
        </w:rPr>
        <w:t>. S obzirom na činjenicu da prihodi vezani uz dani zajam u 2020. i 2021. nisu evidentirani na ispravnim računima namijenjenima za evidentiranje transakcija s ostalim financijskim institucijama u javnom sektoru, kamo pripada HBOR, u 2022. godini poduzet će se sve potrebne radnje kako bi prihodi bili usklađeni te evidentirani na pripadajućim računima Računskog plana namijenjenim za praćenje transakcija s ostalim financijskim institucijama.</w:t>
      </w:r>
    </w:p>
    <w:p w14:paraId="495CCFFF" w14:textId="053770A1" w:rsidR="00F0132D" w:rsidRPr="00F4732E" w:rsidRDefault="00F0132D" w:rsidP="00A16065">
      <w:pPr>
        <w:shd w:val="clear" w:color="auto" w:fill="FFFFFF"/>
        <w:jc w:val="both"/>
        <w:rPr>
          <w:color w:val="000000"/>
        </w:rPr>
      </w:pPr>
    </w:p>
    <w:p w14:paraId="0605BD71" w14:textId="13D47A1B" w:rsidR="00BA7210" w:rsidRPr="00F4732E" w:rsidRDefault="00F0132D" w:rsidP="00A16065">
      <w:pPr>
        <w:pStyle w:val="xmsonormal"/>
        <w:shd w:val="clear" w:color="auto" w:fill="FFFFFF"/>
        <w:spacing w:before="0" w:beforeAutospacing="0" w:after="0" w:afterAutospacing="0"/>
        <w:jc w:val="both"/>
        <w:rPr>
          <w:color w:val="212121"/>
        </w:rPr>
      </w:pPr>
      <w:r w:rsidRPr="00F4732E">
        <w:rPr>
          <w:color w:val="212121"/>
        </w:rPr>
        <w:t>Prihodi od kamata na dane zajmove trgovačkim društvima i obrtnicima izvan javnog sektora u 20</w:t>
      </w:r>
      <w:r w:rsidR="002366BE" w:rsidRPr="00F4732E">
        <w:rPr>
          <w:color w:val="212121"/>
        </w:rPr>
        <w:t>2</w:t>
      </w:r>
      <w:r w:rsidRPr="00F4732E">
        <w:rPr>
          <w:color w:val="212121"/>
        </w:rPr>
        <w:t xml:space="preserve">1. godini ostvareni su u iznosu od 3.082.340 kuna, odnosno 93,6% više od ostvarenja 2020. godine. Povećanje prihoda odnosi se na uplatu kamate od strane društva </w:t>
      </w:r>
      <w:proofErr w:type="spellStart"/>
      <w:r w:rsidRPr="00F4732E">
        <w:rPr>
          <w:color w:val="212121"/>
        </w:rPr>
        <w:t>Alpha</w:t>
      </w:r>
      <w:proofErr w:type="spellEnd"/>
      <w:r w:rsidRPr="00F4732E">
        <w:rPr>
          <w:color w:val="212121"/>
        </w:rPr>
        <w:t xml:space="preserve"> Adriatic</w:t>
      </w:r>
      <w:r w:rsidR="008F66EE" w:rsidRPr="00F4732E">
        <w:t xml:space="preserve"> </w:t>
      </w:r>
      <w:r w:rsidR="008F66EE" w:rsidRPr="00F4732E">
        <w:rPr>
          <w:color w:val="212121"/>
        </w:rPr>
        <w:t>d.d.</w:t>
      </w:r>
      <w:r w:rsidRPr="00F4732E">
        <w:rPr>
          <w:color w:val="212121"/>
        </w:rPr>
        <w:t xml:space="preserve"> (ranije Uljanik plovidba</w:t>
      </w:r>
      <w:r w:rsidR="008F66EE" w:rsidRPr="00F4732E">
        <w:t xml:space="preserve"> </w:t>
      </w:r>
      <w:r w:rsidR="008F66EE" w:rsidRPr="00F4732E">
        <w:rPr>
          <w:color w:val="212121"/>
        </w:rPr>
        <w:t>d.d.</w:t>
      </w:r>
      <w:r w:rsidRPr="00F4732E">
        <w:rPr>
          <w:color w:val="212121"/>
        </w:rPr>
        <w:t>)</w:t>
      </w:r>
      <w:r w:rsidR="008F66EE" w:rsidRPr="00F4732E">
        <w:rPr>
          <w:color w:val="212121"/>
        </w:rPr>
        <w:t xml:space="preserve">. Naime, </w:t>
      </w:r>
      <w:r w:rsidRPr="00F4732E">
        <w:rPr>
          <w:color w:val="212121"/>
        </w:rPr>
        <w:t xml:space="preserve">u </w:t>
      </w:r>
      <w:proofErr w:type="spellStart"/>
      <w:r w:rsidRPr="00F4732E">
        <w:rPr>
          <w:color w:val="212121"/>
        </w:rPr>
        <w:t>predstečajnom</w:t>
      </w:r>
      <w:proofErr w:type="spellEnd"/>
      <w:r w:rsidRPr="00F4732E">
        <w:rPr>
          <w:color w:val="212121"/>
        </w:rPr>
        <w:t xml:space="preserve"> postupku društva </w:t>
      </w:r>
      <w:proofErr w:type="spellStart"/>
      <w:r w:rsidRPr="00F4732E">
        <w:rPr>
          <w:color w:val="212121"/>
        </w:rPr>
        <w:t>Alpha</w:t>
      </w:r>
      <w:proofErr w:type="spellEnd"/>
      <w:r w:rsidRPr="00F4732E">
        <w:rPr>
          <w:color w:val="212121"/>
        </w:rPr>
        <w:t xml:space="preserve"> Adriatic</w:t>
      </w:r>
      <w:r w:rsidR="008F66EE" w:rsidRPr="00F4732E">
        <w:t xml:space="preserve"> </w:t>
      </w:r>
      <w:r w:rsidR="008F66EE" w:rsidRPr="00F4732E">
        <w:rPr>
          <w:color w:val="212121"/>
        </w:rPr>
        <w:t>d.d.</w:t>
      </w:r>
      <w:r w:rsidRPr="00F4732E">
        <w:rPr>
          <w:color w:val="212121"/>
        </w:rPr>
        <w:t xml:space="preserve">, </w:t>
      </w:r>
      <w:r w:rsidR="008F66EE" w:rsidRPr="00F4732E">
        <w:rPr>
          <w:color w:val="212121"/>
        </w:rPr>
        <w:t xml:space="preserve">Ministarstvu financija priznata </w:t>
      </w:r>
      <w:r w:rsidRPr="00F4732E">
        <w:rPr>
          <w:color w:val="212121"/>
        </w:rPr>
        <w:t>je tražbina na ime provizije za</w:t>
      </w:r>
      <w:r w:rsidR="008F66EE" w:rsidRPr="00F4732E">
        <w:rPr>
          <w:color w:val="212121"/>
        </w:rPr>
        <w:t xml:space="preserve"> izdano državno jamstvo, koju je</w:t>
      </w:r>
      <w:r w:rsidRPr="00F4732E">
        <w:rPr>
          <w:color w:val="212121"/>
        </w:rPr>
        <w:t xml:space="preserve"> dužnik sukladno planu namirenja uvećano za redovnu kamatu od 4,5%  </w:t>
      </w:r>
      <w:r w:rsidR="008F66EE" w:rsidRPr="00F4732E">
        <w:rPr>
          <w:color w:val="212121"/>
        </w:rPr>
        <w:t>obvezan</w:t>
      </w:r>
      <w:r w:rsidR="00924801">
        <w:rPr>
          <w:color w:val="212121"/>
        </w:rPr>
        <w:t xml:space="preserve"> vratiti u d</w:t>
      </w:r>
      <w:r w:rsidRPr="00F4732E">
        <w:rPr>
          <w:color w:val="212121"/>
        </w:rPr>
        <w:t>ržavni proračun.</w:t>
      </w:r>
      <w:r w:rsidR="008F66EE" w:rsidRPr="00F4732E">
        <w:rPr>
          <w:color w:val="212121"/>
        </w:rPr>
        <w:t xml:space="preserve"> U</w:t>
      </w:r>
      <w:r w:rsidRPr="00F4732E">
        <w:rPr>
          <w:color w:val="212121"/>
        </w:rPr>
        <w:t xml:space="preserve"> </w:t>
      </w:r>
      <w:proofErr w:type="spellStart"/>
      <w:r w:rsidRPr="00F4732E">
        <w:rPr>
          <w:color w:val="212121"/>
        </w:rPr>
        <w:t>predstečajnom</w:t>
      </w:r>
      <w:proofErr w:type="spellEnd"/>
      <w:r w:rsidRPr="00F4732E">
        <w:rPr>
          <w:color w:val="212121"/>
        </w:rPr>
        <w:t xml:space="preserve"> postupku se cjelokupna tražbina</w:t>
      </w:r>
      <w:r w:rsidR="008F66EE" w:rsidRPr="00F4732E">
        <w:rPr>
          <w:color w:val="212121"/>
        </w:rPr>
        <w:t xml:space="preserve"> Ministarstva financija</w:t>
      </w:r>
      <w:r w:rsidRPr="00F4732E">
        <w:rPr>
          <w:color w:val="212121"/>
        </w:rPr>
        <w:t xml:space="preserve"> na ime protestiranog jamstva</w:t>
      </w:r>
      <w:r w:rsidR="008F66EE" w:rsidRPr="00F4732E">
        <w:rPr>
          <w:color w:val="212121"/>
        </w:rPr>
        <w:t>,</w:t>
      </w:r>
      <w:r w:rsidRPr="00F4732E">
        <w:rPr>
          <w:color w:val="212121"/>
        </w:rPr>
        <w:t xml:space="preserve"> uvećano za zateznu kamatu do otvaranja </w:t>
      </w:r>
      <w:proofErr w:type="spellStart"/>
      <w:r w:rsidRPr="00F4732E">
        <w:rPr>
          <w:color w:val="212121"/>
        </w:rPr>
        <w:t>predstečaja</w:t>
      </w:r>
      <w:proofErr w:type="spellEnd"/>
      <w:r w:rsidR="008F66EE" w:rsidRPr="00F4732E">
        <w:rPr>
          <w:color w:val="212121"/>
        </w:rPr>
        <w:t>,</w:t>
      </w:r>
      <w:r w:rsidR="004D5CDF">
        <w:rPr>
          <w:color w:val="212121"/>
        </w:rPr>
        <w:t> </w:t>
      </w:r>
      <w:r w:rsidRPr="00F4732E">
        <w:rPr>
          <w:color w:val="212121"/>
        </w:rPr>
        <w:t>i tražbina</w:t>
      </w:r>
      <w:r w:rsidR="008F66EE" w:rsidRPr="00F4732E">
        <w:rPr>
          <w:color w:val="212121"/>
        </w:rPr>
        <w:t xml:space="preserve"> na ime provizije, reprogramira uz redovnu kamatu od 4,5%.</w:t>
      </w:r>
    </w:p>
    <w:p w14:paraId="3AE87115" w14:textId="0B225BD4" w:rsidR="00F0132D" w:rsidRPr="00BA7210" w:rsidRDefault="00BA7210" w:rsidP="00A16065">
      <w:pPr>
        <w:pStyle w:val="xmsonormal"/>
        <w:shd w:val="clear" w:color="auto" w:fill="FFFFFF"/>
        <w:jc w:val="both"/>
        <w:rPr>
          <w:color w:val="212121"/>
        </w:rPr>
      </w:pPr>
      <w:r w:rsidRPr="00F4732E">
        <w:rPr>
          <w:color w:val="212121"/>
        </w:rPr>
        <w:t xml:space="preserve">U 2021. godini prihodi od kamata na dane zajmove drugim razinama vlasti ostvareni su u iznosu 117.344.139 kuna odnosno za 56,9% manje u odnosu na ostvarenje 2020. godine. Naime, u 2020. ostvareni su prihodi u iznosu od 272,4 milijuna kuna od kamata na dane zajmove koje su Hrvatske autoceste, Autocesta Rijeka - Zagreb uplatile u državni proračun, a po osnovi Ugovora s Ministarstvom financija vezano uz financijsko restrukturiranje cestarskih društava odnosno refinanciranja njihovih obveza temeljem izdane obveznice. Naime, Ugovorom o prijenosu sredstava Ministarstvo financija je sredstva prikupljena izdavanjem </w:t>
      </w:r>
      <w:proofErr w:type="spellStart"/>
      <w:r w:rsidRPr="00F4732E">
        <w:rPr>
          <w:color w:val="212121"/>
        </w:rPr>
        <w:t>euroobveznica</w:t>
      </w:r>
      <w:proofErr w:type="spellEnd"/>
      <w:r w:rsidRPr="00F4732E">
        <w:rPr>
          <w:color w:val="212121"/>
        </w:rPr>
        <w:t xml:space="preserve"> ustupilo u korist HAC-a, ARZ-a i HC-a. Na ustupljena sredstva obračunava se kamata koja je identična onoj koju plaća Ministarstvo financija, te su navedena društva dužna uplatiti izn</w:t>
      </w:r>
      <w:r w:rsidR="00924801">
        <w:rPr>
          <w:color w:val="212121"/>
        </w:rPr>
        <w:t>os obračunatih kamata u korist d</w:t>
      </w:r>
      <w:r w:rsidRPr="00F4732E">
        <w:rPr>
          <w:color w:val="212121"/>
        </w:rPr>
        <w:t>ržavnog proračuna prije dospijeća obveze Ministarstva financija. U 2</w:t>
      </w:r>
      <w:r w:rsidR="00A16065" w:rsidRPr="00F4732E">
        <w:rPr>
          <w:color w:val="212121"/>
        </w:rPr>
        <w:t>021. najznačajniji dio prihoda ostvaren je u iznosu od 105,8 milijuna kuna uplatom Hrvatskih cesta temeljem gore navedenog Ugovora.</w:t>
      </w:r>
    </w:p>
    <w:p w14:paraId="6C34C002" w14:textId="1E54AB0A" w:rsidR="00A16065" w:rsidRPr="00F4732E" w:rsidRDefault="00F4732E" w:rsidP="00A16065">
      <w:pPr>
        <w:pStyle w:val="Naslov"/>
        <w:keepNext/>
        <w:rPr>
          <w:b w:val="0"/>
          <w:bCs w:val="0"/>
        </w:rPr>
      </w:pPr>
      <w:r w:rsidRPr="00F4732E">
        <w:rPr>
          <w:b w:val="0"/>
          <w:bCs w:val="0"/>
        </w:rPr>
        <w:t>Bilješka 12</w:t>
      </w:r>
      <w:r w:rsidR="00A16065" w:rsidRPr="00F4732E">
        <w:rPr>
          <w:b w:val="0"/>
          <w:bCs w:val="0"/>
        </w:rPr>
        <w:t>.</w:t>
      </w:r>
    </w:p>
    <w:p w14:paraId="5BB9EDAF" w14:textId="12BEA832" w:rsidR="00A16065" w:rsidRPr="008A63B8" w:rsidRDefault="00A16065" w:rsidP="008A63B8">
      <w:pPr>
        <w:pStyle w:val="Naslov"/>
        <w:keepNext/>
        <w:rPr>
          <w:b w:val="0"/>
          <w:bCs w:val="0"/>
        </w:rPr>
      </w:pPr>
      <w:r w:rsidRPr="00F4732E">
        <w:rPr>
          <w:b w:val="0"/>
          <w:bCs w:val="0"/>
        </w:rPr>
        <w:t>AOP 112 Ostali nespomenuti prihodi</w:t>
      </w:r>
    </w:p>
    <w:p w14:paraId="2C062E58" w14:textId="7F0EA953" w:rsidR="0079370F" w:rsidRPr="00F4732E" w:rsidRDefault="00384A12" w:rsidP="000D2A53">
      <w:pPr>
        <w:shd w:val="clear" w:color="auto" w:fill="FFFFFF"/>
        <w:jc w:val="both"/>
        <w:rPr>
          <w:color w:val="000000"/>
        </w:rPr>
      </w:pPr>
      <w:r w:rsidRPr="00F4732E">
        <w:rPr>
          <w:color w:val="000000"/>
        </w:rPr>
        <w:t xml:space="preserve">U 2021. godini </w:t>
      </w:r>
      <w:r w:rsidR="007D71BC" w:rsidRPr="00F4732E">
        <w:rPr>
          <w:color w:val="000000"/>
        </w:rPr>
        <w:t xml:space="preserve">Hrvatska agencija za osiguranje depozita </w:t>
      </w:r>
      <w:r w:rsidRPr="00F4732E">
        <w:rPr>
          <w:color w:val="000000"/>
        </w:rPr>
        <w:t>uplatila</w:t>
      </w:r>
      <w:r w:rsidR="008A63B8">
        <w:rPr>
          <w:color w:val="000000"/>
        </w:rPr>
        <w:t xml:space="preserve"> je u državni proračun 1.457.814.367,76</w:t>
      </w:r>
      <w:r w:rsidRPr="00F4732E">
        <w:rPr>
          <w:color w:val="000000"/>
        </w:rPr>
        <w:t xml:space="preserve"> kuna</w:t>
      </w:r>
      <w:r w:rsidR="007D71BC" w:rsidRPr="00F4732E">
        <w:rPr>
          <w:color w:val="000000"/>
        </w:rPr>
        <w:t xml:space="preserve"> s osnove povrata inicijalnih sredstava iz Fonda osiguranja štednih uloga i sanacije banaka.</w:t>
      </w:r>
      <w:r w:rsidR="0079370F" w:rsidRPr="00F4732E">
        <w:rPr>
          <w:color w:val="000000"/>
        </w:rPr>
        <w:t xml:space="preserve"> </w:t>
      </w:r>
      <w:r w:rsidR="000D2A53" w:rsidRPr="00F4732E">
        <w:rPr>
          <w:color w:val="000000"/>
        </w:rPr>
        <w:t>S</w:t>
      </w:r>
      <w:r w:rsidRPr="00F4732E">
        <w:rPr>
          <w:color w:val="000000"/>
        </w:rPr>
        <w:t xml:space="preserve">ukladno </w:t>
      </w:r>
      <w:r w:rsidR="007D71BC" w:rsidRPr="00F4732E">
        <w:rPr>
          <w:color w:val="000000"/>
        </w:rPr>
        <w:t xml:space="preserve">odredbama članka 15. novog </w:t>
      </w:r>
      <w:r w:rsidR="002366BE" w:rsidRPr="00F4732E">
        <w:rPr>
          <w:color w:val="000000"/>
        </w:rPr>
        <w:t>Zakona o osiguranju depozita (</w:t>
      </w:r>
      <w:r w:rsidR="007D71BC" w:rsidRPr="00F4732E">
        <w:rPr>
          <w:color w:val="000000"/>
        </w:rPr>
        <w:t>„Narodne novine“ br. 146/20) od 1</w:t>
      </w:r>
      <w:r w:rsidRPr="00F4732E">
        <w:rPr>
          <w:color w:val="000000"/>
        </w:rPr>
        <w:t>. siječnja 2021., stvorili</w:t>
      </w:r>
      <w:r w:rsidR="007D71BC" w:rsidRPr="00F4732E">
        <w:rPr>
          <w:color w:val="000000"/>
        </w:rPr>
        <w:t xml:space="preserve"> </w:t>
      </w:r>
      <w:r w:rsidR="000D2A53" w:rsidRPr="00F4732E">
        <w:rPr>
          <w:color w:val="000000"/>
        </w:rPr>
        <w:t xml:space="preserve">su se </w:t>
      </w:r>
      <w:r w:rsidR="007D71BC" w:rsidRPr="00F4732E">
        <w:rPr>
          <w:color w:val="000000"/>
        </w:rPr>
        <w:t>uvjeti za smanjenje tj. obustavu prikupljanja ex-</w:t>
      </w:r>
      <w:proofErr w:type="spellStart"/>
      <w:r w:rsidR="007D71BC" w:rsidRPr="00F4732E">
        <w:rPr>
          <w:color w:val="000000"/>
        </w:rPr>
        <w:t>ante</w:t>
      </w:r>
      <w:proofErr w:type="spellEnd"/>
      <w:r w:rsidR="007D71BC" w:rsidRPr="00F4732E">
        <w:rPr>
          <w:color w:val="000000"/>
        </w:rPr>
        <w:t xml:space="preserve"> premija</w:t>
      </w:r>
      <w:r w:rsidR="000D2A53" w:rsidRPr="00F4732E">
        <w:rPr>
          <w:color w:val="000000"/>
        </w:rPr>
        <w:t>, a</w:t>
      </w:r>
      <w:r w:rsidRPr="00F4732E">
        <w:rPr>
          <w:color w:val="000000"/>
        </w:rPr>
        <w:t xml:space="preserve"> </w:t>
      </w:r>
      <w:r w:rsidR="007D71BC" w:rsidRPr="00F4732E">
        <w:rPr>
          <w:color w:val="000000"/>
        </w:rPr>
        <w:t xml:space="preserve">sukladno Međunarodnim standardima osiguranja depozita koje je usvojio </w:t>
      </w:r>
      <w:proofErr w:type="spellStart"/>
      <w:r w:rsidR="007D71BC" w:rsidRPr="00F4732E">
        <w:rPr>
          <w:color w:val="000000"/>
        </w:rPr>
        <w:t>Baselski</w:t>
      </w:r>
      <w:proofErr w:type="spellEnd"/>
      <w:r w:rsidR="007D71BC" w:rsidRPr="00F4732E">
        <w:rPr>
          <w:color w:val="000000"/>
        </w:rPr>
        <w:t xml:space="preserve"> odbor za superviziju (IADI Core </w:t>
      </w:r>
      <w:proofErr w:type="spellStart"/>
      <w:r w:rsidR="007D71BC" w:rsidRPr="00F4732E">
        <w:rPr>
          <w:color w:val="000000"/>
        </w:rPr>
        <w:t>Principles</w:t>
      </w:r>
      <w:proofErr w:type="spellEnd"/>
      <w:r w:rsidR="007D71BC" w:rsidRPr="00F4732E">
        <w:rPr>
          <w:color w:val="000000"/>
        </w:rPr>
        <w:t xml:space="preserve"> for </w:t>
      </w:r>
      <w:proofErr w:type="spellStart"/>
      <w:r w:rsidR="007D71BC" w:rsidRPr="00F4732E">
        <w:rPr>
          <w:color w:val="000000"/>
        </w:rPr>
        <w:t>Effective</w:t>
      </w:r>
      <w:proofErr w:type="spellEnd"/>
      <w:r w:rsidR="007D71BC" w:rsidRPr="00F4732E">
        <w:rPr>
          <w:color w:val="000000"/>
        </w:rPr>
        <w:t xml:space="preserve"> </w:t>
      </w:r>
      <w:proofErr w:type="spellStart"/>
      <w:r w:rsidR="007D71BC" w:rsidRPr="00F4732E">
        <w:rPr>
          <w:color w:val="000000"/>
        </w:rPr>
        <w:t>Deposit</w:t>
      </w:r>
      <w:proofErr w:type="spellEnd"/>
      <w:r w:rsidR="007D71BC" w:rsidRPr="00F4732E">
        <w:rPr>
          <w:color w:val="000000"/>
        </w:rPr>
        <w:t xml:space="preserve"> Insurance Systems, </w:t>
      </w:r>
      <w:proofErr w:type="spellStart"/>
      <w:r w:rsidR="007D71BC" w:rsidRPr="00F4732E">
        <w:rPr>
          <w:color w:val="000000"/>
        </w:rPr>
        <w:t>November</w:t>
      </w:r>
      <w:proofErr w:type="spellEnd"/>
      <w:r w:rsidR="007D71BC" w:rsidRPr="00F4732E">
        <w:rPr>
          <w:color w:val="000000"/>
        </w:rPr>
        <w:t xml:space="preserve"> 2014; </w:t>
      </w:r>
      <w:proofErr w:type="spellStart"/>
      <w:r w:rsidR="007D71BC" w:rsidRPr="00F4732E">
        <w:rPr>
          <w:color w:val="000000"/>
        </w:rPr>
        <w:t>principle</w:t>
      </w:r>
      <w:proofErr w:type="spellEnd"/>
      <w:r w:rsidR="007D71BC" w:rsidRPr="00F4732E">
        <w:rPr>
          <w:color w:val="000000"/>
        </w:rPr>
        <w:t xml:space="preserve"> 9 – </w:t>
      </w:r>
      <w:proofErr w:type="spellStart"/>
      <w:r w:rsidR="007D71BC" w:rsidRPr="00F4732E">
        <w:rPr>
          <w:color w:val="000000"/>
        </w:rPr>
        <w:t>Sources</w:t>
      </w:r>
      <w:proofErr w:type="spellEnd"/>
      <w:r w:rsidR="007D71BC" w:rsidRPr="00F4732E">
        <w:rPr>
          <w:color w:val="000000"/>
        </w:rPr>
        <w:t xml:space="preserve"> </w:t>
      </w:r>
      <w:proofErr w:type="spellStart"/>
      <w:r w:rsidR="007D71BC" w:rsidRPr="00F4732E">
        <w:rPr>
          <w:color w:val="000000"/>
        </w:rPr>
        <w:t>and</w:t>
      </w:r>
      <w:proofErr w:type="spellEnd"/>
      <w:r w:rsidR="007D71BC" w:rsidRPr="00F4732E">
        <w:rPr>
          <w:color w:val="000000"/>
        </w:rPr>
        <w:t xml:space="preserve"> </w:t>
      </w:r>
      <w:proofErr w:type="spellStart"/>
      <w:r w:rsidR="007D71BC" w:rsidRPr="00F4732E">
        <w:rPr>
          <w:color w:val="000000"/>
        </w:rPr>
        <w:t>uses</w:t>
      </w:r>
      <w:proofErr w:type="spellEnd"/>
      <w:r w:rsidR="007D71BC" w:rsidRPr="00F4732E">
        <w:rPr>
          <w:color w:val="000000"/>
        </w:rPr>
        <w:t xml:space="preserve"> </w:t>
      </w:r>
      <w:proofErr w:type="spellStart"/>
      <w:r w:rsidR="007D71BC" w:rsidRPr="00F4732E">
        <w:rPr>
          <w:color w:val="000000"/>
        </w:rPr>
        <w:t>of</w:t>
      </w:r>
      <w:proofErr w:type="spellEnd"/>
      <w:r w:rsidR="007D71BC" w:rsidRPr="00F4732E">
        <w:rPr>
          <w:color w:val="000000"/>
        </w:rPr>
        <w:t xml:space="preserve"> </w:t>
      </w:r>
      <w:proofErr w:type="spellStart"/>
      <w:r w:rsidR="007D71BC" w:rsidRPr="00F4732E">
        <w:rPr>
          <w:color w:val="000000"/>
        </w:rPr>
        <w:t>funds</w:t>
      </w:r>
      <w:proofErr w:type="spellEnd"/>
      <w:r w:rsidR="007D71BC" w:rsidRPr="00F4732E">
        <w:rPr>
          <w:color w:val="000000"/>
        </w:rPr>
        <w:t>) sustav osiguranja depozita prije bilo kakvog smanjenja ili obustave prikuplj</w:t>
      </w:r>
      <w:r w:rsidR="002366BE" w:rsidRPr="00F4732E">
        <w:rPr>
          <w:color w:val="000000"/>
        </w:rPr>
        <w:t>anja premija osiguranja, ima ob</w:t>
      </w:r>
      <w:r w:rsidR="007D71BC" w:rsidRPr="00F4732E">
        <w:rPr>
          <w:color w:val="000000"/>
        </w:rPr>
        <w:t xml:space="preserve">vezu vratiti sva inicijalna sredstva državama tj. proračunima koja su eventualno uplaćena prilikom osnivanja sustava </w:t>
      </w:r>
      <w:r w:rsidR="000D2A53" w:rsidRPr="00F4732E">
        <w:rPr>
          <w:color w:val="000000"/>
        </w:rPr>
        <w:t>osiguranja i fondova osiguranja. Agencija je s obzirom</w:t>
      </w:r>
      <w:r w:rsidRPr="00F4732E">
        <w:rPr>
          <w:color w:val="000000"/>
        </w:rPr>
        <w:t xml:space="preserve"> na dostignutu propisanu razinu uplaćenih sredstava u osnovni i dodatni fond osiguranja depozita, uplatila </w:t>
      </w:r>
      <w:r w:rsidR="000D2A53" w:rsidRPr="00F4732E">
        <w:rPr>
          <w:color w:val="000000"/>
        </w:rPr>
        <w:t xml:space="preserve">u siječnju 2021. </w:t>
      </w:r>
      <w:r w:rsidRPr="00F4732E">
        <w:rPr>
          <w:color w:val="000000"/>
        </w:rPr>
        <w:t>navedena sredstva</w:t>
      </w:r>
      <w:r w:rsidR="000D2A53" w:rsidRPr="00F4732E">
        <w:rPr>
          <w:color w:val="000000"/>
        </w:rPr>
        <w:t xml:space="preserve"> u državni proračun</w:t>
      </w:r>
      <w:r w:rsidRPr="00F4732E">
        <w:rPr>
          <w:color w:val="000000"/>
        </w:rPr>
        <w:t>.</w:t>
      </w:r>
    </w:p>
    <w:p w14:paraId="2A597918" w14:textId="0C9684E5" w:rsidR="0079370F" w:rsidRPr="00F4732E" w:rsidRDefault="0079370F" w:rsidP="007D71BC">
      <w:pPr>
        <w:shd w:val="clear" w:color="auto" w:fill="FFFFFF"/>
        <w:rPr>
          <w:b/>
          <w:bCs/>
          <w:color w:val="000000"/>
        </w:rPr>
      </w:pPr>
    </w:p>
    <w:p w14:paraId="3CFFB281" w14:textId="59990360" w:rsidR="00384A12" w:rsidRPr="00F4732E" w:rsidRDefault="00F4732E" w:rsidP="00384A12">
      <w:pPr>
        <w:pStyle w:val="Naslov"/>
        <w:keepNext/>
        <w:rPr>
          <w:b w:val="0"/>
          <w:bCs w:val="0"/>
        </w:rPr>
      </w:pPr>
      <w:r w:rsidRPr="00F4732E">
        <w:rPr>
          <w:b w:val="0"/>
          <w:bCs w:val="0"/>
        </w:rPr>
        <w:t>Bilješka 13</w:t>
      </w:r>
      <w:r w:rsidR="00384A12" w:rsidRPr="00F4732E">
        <w:rPr>
          <w:b w:val="0"/>
          <w:bCs w:val="0"/>
        </w:rPr>
        <w:t xml:space="preserve">. </w:t>
      </w:r>
    </w:p>
    <w:p w14:paraId="386FD6C1" w14:textId="156A7030" w:rsidR="00384A12" w:rsidRPr="00F4732E" w:rsidRDefault="000D2A53" w:rsidP="00384A12">
      <w:pPr>
        <w:pStyle w:val="Naslov"/>
        <w:keepNext/>
        <w:rPr>
          <w:b w:val="0"/>
          <w:bCs w:val="0"/>
        </w:rPr>
      </w:pPr>
      <w:r w:rsidRPr="00F4732E">
        <w:rPr>
          <w:b w:val="0"/>
          <w:bCs w:val="0"/>
        </w:rPr>
        <w:t>AOP 123</w:t>
      </w:r>
      <w:r w:rsidR="00384A12" w:rsidRPr="00F4732E">
        <w:rPr>
          <w:b w:val="0"/>
          <w:bCs w:val="0"/>
        </w:rPr>
        <w:t xml:space="preserve"> Donacije od pravnih i fizičkih osoba izvan općeg proračuna </w:t>
      </w:r>
    </w:p>
    <w:p w14:paraId="358E866D" w14:textId="194DAB9A" w:rsidR="00384A12" w:rsidRDefault="00EA3E42" w:rsidP="00384A12">
      <w:pPr>
        <w:pStyle w:val="Naslov"/>
        <w:keepNext/>
        <w:jc w:val="both"/>
        <w:rPr>
          <w:b w:val="0"/>
          <w:bCs w:val="0"/>
          <w:sz w:val="24"/>
        </w:rPr>
      </w:pPr>
      <w:r w:rsidRPr="00F4732E">
        <w:rPr>
          <w:b w:val="0"/>
          <w:bCs w:val="0"/>
          <w:sz w:val="24"/>
        </w:rPr>
        <w:t>U 2021</w:t>
      </w:r>
      <w:r w:rsidR="00384A12" w:rsidRPr="00F4732E">
        <w:rPr>
          <w:b w:val="0"/>
          <w:bCs w:val="0"/>
          <w:sz w:val="24"/>
        </w:rPr>
        <w:t>. godini prihodi od tekućih donacija iznosili su</w:t>
      </w:r>
      <w:r w:rsidRPr="00F4732E">
        <w:rPr>
          <w:b w:val="0"/>
          <w:bCs w:val="0"/>
          <w:sz w:val="24"/>
        </w:rPr>
        <w:t xml:space="preserve"> 9.498 kuna, odnosno gotovo pa 100% su manji u odnosu na ostvarenje u 2020. godini kada su </w:t>
      </w:r>
      <w:r w:rsidR="000D2A53" w:rsidRPr="00F4732E">
        <w:rPr>
          <w:b w:val="0"/>
          <w:bCs w:val="0"/>
          <w:sz w:val="24"/>
        </w:rPr>
        <w:t>realizirani</w:t>
      </w:r>
      <w:r w:rsidRPr="00F4732E">
        <w:rPr>
          <w:b w:val="0"/>
          <w:bCs w:val="0"/>
          <w:sz w:val="24"/>
        </w:rPr>
        <w:t xml:space="preserve"> u iznosu od 55.466.447 k</w:t>
      </w:r>
      <w:r w:rsidR="000D2A53" w:rsidRPr="00F4732E">
        <w:rPr>
          <w:b w:val="0"/>
          <w:bCs w:val="0"/>
          <w:sz w:val="24"/>
        </w:rPr>
        <w:t>u</w:t>
      </w:r>
      <w:r w:rsidRPr="00F4732E">
        <w:rPr>
          <w:b w:val="0"/>
          <w:bCs w:val="0"/>
          <w:sz w:val="24"/>
        </w:rPr>
        <w:t>n</w:t>
      </w:r>
      <w:r w:rsidR="000D2A53" w:rsidRPr="00F4732E">
        <w:rPr>
          <w:b w:val="0"/>
          <w:bCs w:val="0"/>
          <w:sz w:val="24"/>
        </w:rPr>
        <w:t>a</w:t>
      </w:r>
      <w:r w:rsidR="00924801">
        <w:rPr>
          <w:b w:val="0"/>
          <w:bCs w:val="0"/>
          <w:sz w:val="24"/>
        </w:rPr>
        <w:t>.</w:t>
      </w:r>
      <w:r w:rsidRPr="00F4732E">
        <w:rPr>
          <w:b w:val="0"/>
          <w:bCs w:val="0"/>
          <w:sz w:val="24"/>
        </w:rPr>
        <w:t xml:space="preserve"> </w:t>
      </w:r>
      <w:r w:rsidR="00924801">
        <w:rPr>
          <w:b w:val="0"/>
          <w:bCs w:val="0"/>
          <w:sz w:val="24"/>
        </w:rPr>
        <w:t xml:space="preserve">Prihodi u 2020. u okviru navedenog AOP-a </w:t>
      </w:r>
      <w:r w:rsidRPr="00F4732E">
        <w:rPr>
          <w:b w:val="0"/>
          <w:bCs w:val="0"/>
          <w:sz w:val="24"/>
        </w:rPr>
        <w:t>evide</w:t>
      </w:r>
      <w:r w:rsidR="00924801">
        <w:rPr>
          <w:b w:val="0"/>
          <w:bCs w:val="0"/>
          <w:sz w:val="24"/>
        </w:rPr>
        <w:t>ntirani su</w:t>
      </w:r>
      <w:r w:rsidRPr="00F4732E">
        <w:rPr>
          <w:b w:val="0"/>
          <w:bCs w:val="0"/>
          <w:sz w:val="24"/>
        </w:rPr>
        <w:t xml:space="preserve"> t</w:t>
      </w:r>
      <w:r w:rsidR="00384A12" w:rsidRPr="00F4732E">
        <w:rPr>
          <w:b w:val="0"/>
          <w:bCs w:val="0"/>
          <w:sz w:val="24"/>
        </w:rPr>
        <w:t xml:space="preserve">emeljem Odluka Vlade Republike Hrvatske o otvaranju računa za donacije financijskih sredstava u akciji „Hrvatska protiv </w:t>
      </w:r>
      <w:proofErr w:type="spellStart"/>
      <w:r w:rsidR="00384A12" w:rsidRPr="00F4732E">
        <w:rPr>
          <w:b w:val="0"/>
          <w:bCs w:val="0"/>
          <w:sz w:val="24"/>
        </w:rPr>
        <w:t>koronavirusa</w:t>
      </w:r>
      <w:proofErr w:type="spellEnd"/>
      <w:r w:rsidR="00384A12" w:rsidRPr="00F4732E">
        <w:rPr>
          <w:b w:val="0"/>
          <w:bCs w:val="0"/>
          <w:sz w:val="24"/>
        </w:rPr>
        <w:t>", akciji „Zajedno za Zagreb" (Narodne Novine, br.: 36/2020) i akciji „Pomoć za obnovu nakon potresa“ (Narodne Novine, br.: 147/2020)</w:t>
      </w:r>
      <w:r w:rsidRPr="00F4732E">
        <w:rPr>
          <w:b w:val="0"/>
          <w:bCs w:val="0"/>
          <w:sz w:val="24"/>
        </w:rPr>
        <w:t>,</w:t>
      </w:r>
      <w:r w:rsidR="00384A12" w:rsidRPr="00F4732E">
        <w:rPr>
          <w:b w:val="0"/>
          <w:bCs w:val="0"/>
          <w:sz w:val="24"/>
        </w:rPr>
        <w:t xml:space="preserve"> uplate doniranih financijskih sredstava namijenjenih za borbu protiv epidemije bolesti COVID-19 uzrokovane virusom SARS-CoV-2, za sanaciju posljedica potresa u Gradu Zagrebu i okolici i sanaciju posljedica potresa u gradovima </w:t>
      </w:r>
      <w:r w:rsidR="00384A12" w:rsidRPr="00F4732E">
        <w:rPr>
          <w:b w:val="0"/>
          <w:bCs w:val="0"/>
          <w:sz w:val="24"/>
        </w:rPr>
        <w:lastRenderedPageBreak/>
        <w:t xml:space="preserve">Petrinji, Sisku i Glini te drugim gradovima i općinama koje su pogodili razorni potresi, </w:t>
      </w:r>
      <w:r w:rsidRPr="00F4732E">
        <w:rPr>
          <w:b w:val="0"/>
          <w:bCs w:val="0"/>
          <w:sz w:val="24"/>
        </w:rPr>
        <w:t>koje su se uplaćivale</w:t>
      </w:r>
      <w:r w:rsidR="00924801">
        <w:rPr>
          <w:b w:val="0"/>
          <w:bCs w:val="0"/>
          <w:sz w:val="24"/>
        </w:rPr>
        <w:t xml:space="preserve"> na račun d</w:t>
      </w:r>
      <w:r w:rsidR="00384A12" w:rsidRPr="00F4732E">
        <w:rPr>
          <w:b w:val="0"/>
          <w:bCs w:val="0"/>
          <w:sz w:val="24"/>
        </w:rPr>
        <w:t>ržavnog proračuna Republike Hrvatske.</w:t>
      </w:r>
    </w:p>
    <w:p w14:paraId="3DBD34AA" w14:textId="58ED0DC1" w:rsidR="00570C03" w:rsidRPr="003B30B6" w:rsidRDefault="00570C03" w:rsidP="00384A12">
      <w:pPr>
        <w:pStyle w:val="Naslov"/>
        <w:keepNext/>
        <w:jc w:val="both"/>
        <w:rPr>
          <w:b w:val="0"/>
          <w:bCs w:val="0"/>
          <w:sz w:val="24"/>
        </w:rPr>
      </w:pPr>
    </w:p>
    <w:p w14:paraId="62A7357F" w14:textId="2BCA1A4D" w:rsidR="0079370F" w:rsidRPr="00F4732E" w:rsidRDefault="00F4732E" w:rsidP="00CE236F">
      <w:pPr>
        <w:shd w:val="clear" w:color="auto" w:fill="FFFFFF"/>
        <w:jc w:val="center"/>
        <w:rPr>
          <w:color w:val="000000"/>
          <w:sz w:val="28"/>
          <w:szCs w:val="28"/>
        </w:rPr>
      </w:pPr>
      <w:r w:rsidRPr="00F4732E">
        <w:rPr>
          <w:color w:val="000000"/>
          <w:sz w:val="28"/>
          <w:szCs w:val="28"/>
        </w:rPr>
        <w:t>Bilješka 14</w:t>
      </w:r>
      <w:r w:rsidR="00CE236F" w:rsidRPr="00F4732E">
        <w:rPr>
          <w:color w:val="000000"/>
          <w:sz w:val="28"/>
          <w:szCs w:val="28"/>
        </w:rPr>
        <w:t>.</w:t>
      </w:r>
    </w:p>
    <w:p w14:paraId="4AB27D8A" w14:textId="7D3B9C29" w:rsidR="00CE236F" w:rsidRPr="00F4732E" w:rsidRDefault="00E32687" w:rsidP="00F4732E">
      <w:pPr>
        <w:shd w:val="clear" w:color="auto" w:fill="FFFFFF"/>
        <w:jc w:val="center"/>
        <w:rPr>
          <w:color w:val="000000"/>
          <w:sz w:val="28"/>
          <w:szCs w:val="28"/>
        </w:rPr>
      </w:pPr>
      <w:r w:rsidRPr="00F4732E">
        <w:rPr>
          <w:color w:val="000000"/>
          <w:sz w:val="28"/>
          <w:szCs w:val="28"/>
        </w:rPr>
        <w:t>AOP 126 Povrat donacija danih neprofitnim organizacijama, građanima i kućanstvima u tuzem</w:t>
      </w:r>
      <w:r w:rsidR="00AC7946" w:rsidRPr="00F4732E">
        <w:rPr>
          <w:color w:val="000000"/>
          <w:sz w:val="28"/>
          <w:szCs w:val="28"/>
        </w:rPr>
        <w:t>stvu po protestiranim jamstvima</w:t>
      </w:r>
    </w:p>
    <w:p w14:paraId="44D22DD6" w14:textId="6EA50E5A" w:rsidR="00E32687" w:rsidRPr="00F4732E" w:rsidRDefault="00E32687" w:rsidP="003F5334">
      <w:pPr>
        <w:shd w:val="clear" w:color="auto" w:fill="FFFFFF"/>
        <w:jc w:val="both"/>
        <w:rPr>
          <w:color w:val="000000"/>
        </w:rPr>
      </w:pPr>
      <w:r w:rsidRPr="00F4732E">
        <w:rPr>
          <w:color w:val="000000"/>
        </w:rPr>
        <w:t>Pravilnikom o izmjenama i dopunama Pravilnika o proračunskom računovodstvu i Računskom planu (Narodne novine, broj 108/20), čije se odredbe primjenjuju u knjigovodstvenim evidencijama od 1. siječnja 2021. i u financijskom izvještavanju za izvještajna razdoblja od 1. siječnja 2021. godine</w:t>
      </w:r>
      <w:r w:rsidR="003F5334" w:rsidRPr="00F4732E">
        <w:rPr>
          <w:color w:val="000000"/>
        </w:rPr>
        <w:t xml:space="preserve"> izmijenjena su do tada važeća pravila za evidentiranje protestiranih jamstava prema kojima</w:t>
      </w:r>
      <w:r w:rsidRPr="00F4732E">
        <w:rPr>
          <w:color w:val="000000"/>
        </w:rPr>
        <w:t xml:space="preserve"> </w:t>
      </w:r>
      <w:r w:rsidR="003F5334" w:rsidRPr="00F4732E">
        <w:rPr>
          <w:color w:val="000000"/>
        </w:rPr>
        <w:t xml:space="preserve">su se </w:t>
      </w:r>
      <w:r w:rsidRPr="00F4732E">
        <w:rPr>
          <w:color w:val="000000"/>
        </w:rPr>
        <w:t>planirala u državnom proračunom i iskazivala u izvještajima o izvršenju državnog proračuna u okviru skupine 51 Izdaci za dane zajmove</w:t>
      </w:r>
      <w:r w:rsidR="003F5334" w:rsidRPr="00F4732E">
        <w:rPr>
          <w:color w:val="000000"/>
        </w:rPr>
        <w:t xml:space="preserve">. </w:t>
      </w:r>
      <w:r w:rsidRPr="00F4732E">
        <w:rPr>
          <w:color w:val="000000"/>
        </w:rPr>
        <w:t>Budući da su plaćanja po danim državnim jamstvima bila klasificirana u okviru izdataka, a povrati sredstava po isplaćenim jamstvima u okviru primitaka, navedeni poslovni događaji nisu imali utjecaj na visinu deficita državnog proračuna.</w:t>
      </w:r>
    </w:p>
    <w:p w14:paraId="4E354BD9" w14:textId="77777777" w:rsidR="00E32687" w:rsidRPr="00F4732E" w:rsidRDefault="00E32687" w:rsidP="003F5334">
      <w:pPr>
        <w:shd w:val="clear" w:color="auto" w:fill="FFFFFF"/>
        <w:jc w:val="both"/>
        <w:rPr>
          <w:color w:val="000000"/>
        </w:rPr>
      </w:pPr>
    </w:p>
    <w:p w14:paraId="6DABAD41" w14:textId="77777777" w:rsidR="00E32687" w:rsidRPr="00F4732E" w:rsidRDefault="00E32687" w:rsidP="003F5334">
      <w:pPr>
        <w:shd w:val="clear" w:color="auto" w:fill="FFFFFF"/>
        <w:jc w:val="both"/>
        <w:rPr>
          <w:color w:val="000000"/>
        </w:rPr>
      </w:pPr>
      <w:r w:rsidRPr="00F4732E">
        <w:rPr>
          <w:color w:val="000000"/>
        </w:rPr>
        <w:t xml:space="preserve">S druge strane, prema statističkoj metodologiji Europske unije - ESA 2010, plaćanja na temelju danih jamstava koja zadovoljavaju određene uvjete iskazuju se u okviru rashoda te utječu na visinu deficita. Deficit se po navedenoj metodologiji izračunava drugačije nego prema nacionalnoj metodologiji te se podaci o deficitu razlikuju, a važan utjecaj na navedenu razliku, osim drugih čimbenika, imaju i plaćanja po danim jamstvima. </w:t>
      </w:r>
    </w:p>
    <w:p w14:paraId="408099F4" w14:textId="2DA5DBE3" w:rsidR="00E32687" w:rsidRPr="00F4732E" w:rsidRDefault="00E32687" w:rsidP="003F5334">
      <w:pPr>
        <w:shd w:val="clear" w:color="auto" w:fill="FFFFFF"/>
        <w:jc w:val="both"/>
        <w:rPr>
          <w:color w:val="000000"/>
        </w:rPr>
      </w:pPr>
    </w:p>
    <w:p w14:paraId="73BE2E87" w14:textId="3CA5E6E1" w:rsidR="00E32687" w:rsidRPr="00F4732E" w:rsidRDefault="00E32687" w:rsidP="003F5334">
      <w:pPr>
        <w:shd w:val="clear" w:color="auto" w:fill="FFFFFF"/>
        <w:jc w:val="both"/>
        <w:rPr>
          <w:color w:val="000000"/>
        </w:rPr>
      </w:pPr>
      <w:r w:rsidRPr="00F4732E">
        <w:rPr>
          <w:color w:val="000000"/>
        </w:rPr>
        <w:t xml:space="preserve">Dakle, od 2021. godine plaćanje po protestiranim jamstvima </w:t>
      </w:r>
      <w:r w:rsidR="003F5334" w:rsidRPr="00F4732E">
        <w:rPr>
          <w:color w:val="000000"/>
        </w:rPr>
        <w:t>evidentiraju se</w:t>
      </w:r>
      <w:r w:rsidRPr="00F4732E">
        <w:rPr>
          <w:color w:val="000000"/>
        </w:rPr>
        <w:t xml:space="preserve"> na novim računima razreda 3 Rashodi poslovanja, a slijedom toga, povrati po plaćenim protestiranim jamstvima na novim računima razreda 6 Prihodi poslovanja. Nastavno na sve navedeno, u izmjenama i dopunama Pravilnika </w:t>
      </w:r>
      <w:r w:rsidR="003F5334" w:rsidRPr="00F4732E">
        <w:rPr>
          <w:color w:val="000000"/>
        </w:rPr>
        <w:t>brisani su dosadašnji računi</w:t>
      </w:r>
      <w:r w:rsidRPr="00F4732E">
        <w:rPr>
          <w:color w:val="000000"/>
        </w:rPr>
        <w:t xml:space="preserve"> potraživanja, i</w:t>
      </w:r>
      <w:r w:rsidR="00CE0FD8" w:rsidRPr="00F4732E">
        <w:rPr>
          <w:color w:val="000000"/>
        </w:rPr>
        <w:t>zdataka i primitaka, a otvor</w:t>
      </w:r>
      <w:r w:rsidR="003F5334" w:rsidRPr="00F4732E">
        <w:rPr>
          <w:color w:val="000000"/>
        </w:rPr>
        <w:t>eni novi računi</w:t>
      </w:r>
      <w:r w:rsidRPr="00F4732E">
        <w:rPr>
          <w:color w:val="000000"/>
        </w:rPr>
        <w:t xml:space="preserve"> potraživanja, </w:t>
      </w:r>
      <w:r w:rsidR="003F5334" w:rsidRPr="00F4732E">
        <w:rPr>
          <w:color w:val="000000"/>
        </w:rPr>
        <w:t>obveza, rashoda i prihoda vezani</w:t>
      </w:r>
      <w:r w:rsidRPr="00F4732E">
        <w:rPr>
          <w:color w:val="000000"/>
        </w:rPr>
        <w:t xml:space="preserve"> uz protestirana jamstva.</w:t>
      </w:r>
    </w:p>
    <w:p w14:paraId="1AA973AE" w14:textId="77777777" w:rsidR="00E32687" w:rsidRPr="00F4732E" w:rsidRDefault="00E32687" w:rsidP="003F5334">
      <w:pPr>
        <w:shd w:val="clear" w:color="auto" w:fill="FFFFFF"/>
        <w:jc w:val="both"/>
        <w:rPr>
          <w:color w:val="000000"/>
        </w:rPr>
      </w:pPr>
    </w:p>
    <w:p w14:paraId="1AFCEE1E" w14:textId="321DB4A0" w:rsidR="00E32687" w:rsidRDefault="003F5334" w:rsidP="003F5334">
      <w:pPr>
        <w:shd w:val="clear" w:color="auto" w:fill="FFFFFF"/>
        <w:jc w:val="both"/>
        <w:rPr>
          <w:color w:val="000000"/>
        </w:rPr>
      </w:pPr>
      <w:r w:rsidRPr="00F4732E">
        <w:rPr>
          <w:color w:val="000000"/>
        </w:rPr>
        <w:t>Slijedom navedenog, u 20</w:t>
      </w:r>
      <w:r w:rsidR="00AC7946" w:rsidRPr="00F4732E">
        <w:rPr>
          <w:color w:val="000000"/>
        </w:rPr>
        <w:t xml:space="preserve">21. godini na AOP-u 126 </w:t>
      </w:r>
      <w:r w:rsidRPr="00F4732E">
        <w:rPr>
          <w:color w:val="000000"/>
        </w:rPr>
        <w:t xml:space="preserve">iskazani su povrati donacija </w:t>
      </w:r>
      <w:r w:rsidR="00AC7946" w:rsidRPr="00F4732E">
        <w:rPr>
          <w:color w:val="000000"/>
        </w:rPr>
        <w:t>danih neprofitnim organizacijama, građanima i kućanstvima u tuzemstvu po protestiranim jamstvima u iznosu od 529.485 kuna.</w:t>
      </w:r>
    </w:p>
    <w:p w14:paraId="7D93BA5D" w14:textId="7A2B2EF3" w:rsidR="00AC7946" w:rsidRDefault="00AC7946" w:rsidP="003F5334">
      <w:pPr>
        <w:shd w:val="clear" w:color="auto" w:fill="FFFFFF"/>
        <w:jc w:val="both"/>
        <w:rPr>
          <w:color w:val="000000"/>
        </w:rPr>
      </w:pPr>
    </w:p>
    <w:p w14:paraId="45D33E3D" w14:textId="425821C3" w:rsidR="00AC7946" w:rsidRPr="00F4732E" w:rsidRDefault="00AC7946" w:rsidP="00AC7946">
      <w:pPr>
        <w:pStyle w:val="Naslov"/>
        <w:keepNext/>
        <w:rPr>
          <w:b w:val="0"/>
          <w:bCs w:val="0"/>
        </w:rPr>
      </w:pPr>
      <w:r w:rsidRPr="00F4732E">
        <w:rPr>
          <w:b w:val="0"/>
          <w:bCs w:val="0"/>
        </w:rPr>
        <w:t>Bilješka</w:t>
      </w:r>
      <w:r w:rsidR="00F4732E" w:rsidRPr="00F4732E">
        <w:rPr>
          <w:b w:val="0"/>
          <w:bCs w:val="0"/>
        </w:rPr>
        <w:t xml:space="preserve"> 15.</w:t>
      </w:r>
    </w:p>
    <w:p w14:paraId="4222E5DC" w14:textId="2A2BAE91" w:rsidR="00AC7946" w:rsidRPr="00F4732E" w:rsidRDefault="00AC7946" w:rsidP="00F4732E">
      <w:pPr>
        <w:pStyle w:val="Naslov"/>
        <w:keepNext/>
        <w:rPr>
          <w:b w:val="0"/>
          <w:bCs w:val="0"/>
        </w:rPr>
      </w:pPr>
      <w:r w:rsidRPr="00F4732E">
        <w:rPr>
          <w:b w:val="0"/>
          <w:bCs w:val="0"/>
        </w:rPr>
        <w:t>AOP 127 Povrat kapitalnih pomoći danih trgovačkim društvima i obrtnicima po protestiranim jamstvima</w:t>
      </w:r>
    </w:p>
    <w:p w14:paraId="4FD8F1FA" w14:textId="0F4500C6" w:rsidR="00AC7946" w:rsidRPr="00F4732E" w:rsidRDefault="00AC7946" w:rsidP="00AC7946">
      <w:pPr>
        <w:pStyle w:val="Naslov"/>
        <w:keepNext/>
        <w:jc w:val="both"/>
        <w:rPr>
          <w:b w:val="0"/>
          <w:bCs w:val="0"/>
          <w:sz w:val="24"/>
        </w:rPr>
      </w:pPr>
      <w:r w:rsidRPr="00F4732E">
        <w:rPr>
          <w:b w:val="0"/>
          <w:bCs w:val="0"/>
          <w:sz w:val="24"/>
        </w:rPr>
        <w:t>U 2021. ostvareno je 205.387.185 kuna povrata kapitalnih pomoći danih trgovačkim društvima i obrtnicima po protestiranim jamstvima. Najznačajniji prihodi u navedenom iznosu su prihodi ostvareni temeljem prijeboja potraživanja prema društvu Uljanik d.d. u stečaju i</w:t>
      </w:r>
      <w:r w:rsidRPr="00F4732E">
        <w:t xml:space="preserve"> </w:t>
      </w:r>
      <w:r w:rsidRPr="00F4732E">
        <w:rPr>
          <w:b w:val="0"/>
          <w:bCs w:val="0"/>
          <w:sz w:val="24"/>
        </w:rPr>
        <w:t>Uljanik Brodogradilište d.d. u stečaju u ukupnom iznosu 154.774.905,58 kuna.</w:t>
      </w:r>
    </w:p>
    <w:p w14:paraId="50C7E17B" w14:textId="77777777" w:rsidR="00AC7946" w:rsidRPr="00F4732E" w:rsidRDefault="00AC7946" w:rsidP="00AC7946">
      <w:pPr>
        <w:pStyle w:val="Naslov"/>
        <w:keepNext/>
        <w:jc w:val="both"/>
        <w:rPr>
          <w:b w:val="0"/>
          <w:bCs w:val="0"/>
          <w:sz w:val="24"/>
        </w:rPr>
      </w:pPr>
    </w:p>
    <w:p w14:paraId="1F220779" w14:textId="1B39F90A" w:rsidR="00AC7946" w:rsidRPr="00F4732E" w:rsidRDefault="00AC7946" w:rsidP="00AC7946">
      <w:pPr>
        <w:pStyle w:val="Naslov"/>
        <w:keepNext/>
        <w:jc w:val="both"/>
        <w:rPr>
          <w:b w:val="0"/>
          <w:bCs w:val="0"/>
          <w:sz w:val="24"/>
        </w:rPr>
      </w:pPr>
      <w:r w:rsidRPr="00F4732E">
        <w:rPr>
          <w:b w:val="0"/>
          <w:bCs w:val="0"/>
          <w:sz w:val="24"/>
        </w:rPr>
        <w:t xml:space="preserve">U stečajnom postupku društva Uljanik d.d. u stečaju, Ministarstvo financija je izvršilo prijeboj svoje tražbine na ime plaćenih državnih jamstava sa </w:t>
      </w:r>
      <w:proofErr w:type="spellStart"/>
      <w:r w:rsidRPr="00F4732E">
        <w:rPr>
          <w:b w:val="0"/>
          <w:bCs w:val="0"/>
          <w:sz w:val="24"/>
        </w:rPr>
        <w:t>protutražbinom</w:t>
      </w:r>
      <w:proofErr w:type="spellEnd"/>
      <w:r w:rsidRPr="00F4732E">
        <w:rPr>
          <w:b w:val="0"/>
          <w:bCs w:val="0"/>
          <w:sz w:val="24"/>
        </w:rPr>
        <w:t xml:space="preserve"> Uljanika d.d. u stečaju po osnovu cijene u visini utvrđene vrijednosti broda u gradnji Uljanik </w:t>
      </w:r>
      <w:r w:rsidR="00F44758">
        <w:rPr>
          <w:b w:val="0"/>
          <w:bCs w:val="0"/>
          <w:sz w:val="24"/>
        </w:rPr>
        <w:t>531 u iznosu od 72.374.569,20 kuna</w:t>
      </w:r>
      <w:r w:rsidRPr="00F4732E">
        <w:rPr>
          <w:b w:val="0"/>
          <w:bCs w:val="0"/>
          <w:sz w:val="24"/>
        </w:rPr>
        <w:t>. Trgovački sud u Pazinu, dana 5. svibnja 2021., donio je rješenje o dosudi broda u gradnji Uljanik 531 Republici Hrvatskoj, Ministarstvu financija, što je evidentirano u 2021. godini.</w:t>
      </w:r>
    </w:p>
    <w:p w14:paraId="778573FC" w14:textId="77777777" w:rsidR="00AC7946" w:rsidRPr="00F4732E" w:rsidRDefault="00AC7946" w:rsidP="00AC7946">
      <w:pPr>
        <w:pStyle w:val="Naslov"/>
        <w:keepNext/>
        <w:jc w:val="both"/>
        <w:rPr>
          <w:b w:val="0"/>
          <w:bCs w:val="0"/>
          <w:sz w:val="24"/>
        </w:rPr>
      </w:pPr>
    </w:p>
    <w:p w14:paraId="55BF923E" w14:textId="4EFEA103" w:rsidR="00AC7946" w:rsidRPr="00F4732E" w:rsidRDefault="00AC7946" w:rsidP="00AC7946">
      <w:pPr>
        <w:pStyle w:val="Naslov"/>
        <w:keepNext/>
        <w:jc w:val="both"/>
        <w:rPr>
          <w:b w:val="0"/>
          <w:bCs w:val="0"/>
          <w:sz w:val="24"/>
        </w:rPr>
      </w:pPr>
      <w:r w:rsidRPr="00F4732E">
        <w:rPr>
          <w:b w:val="0"/>
          <w:bCs w:val="0"/>
          <w:sz w:val="24"/>
        </w:rPr>
        <w:t xml:space="preserve">U 2020. godini evidentirani su rashodi za nabavu prijevoznih sredstava u pomorskom i riječnom prometu u iznosu od 142.141.173 kuna. Vlada Republike Hrvatske na sjednici održanoj 29. listopada 2020. donijela je Zaključak </w:t>
      </w:r>
      <w:r w:rsidR="00810733" w:rsidRPr="00F4732E">
        <w:rPr>
          <w:b w:val="0"/>
          <w:bCs w:val="0"/>
          <w:sz w:val="24"/>
        </w:rPr>
        <w:t>KLASA</w:t>
      </w:r>
      <w:r w:rsidRPr="00F4732E">
        <w:rPr>
          <w:b w:val="0"/>
          <w:bCs w:val="0"/>
          <w:sz w:val="24"/>
        </w:rPr>
        <w:t>:</w:t>
      </w:r>
      <w:r w:rsidR="00810733">
        <w:rPr>
          <w:b w:val="0"/>
          <w:bCs w:val="0"/>
          <w:sz w:val="24"/>
        </w:rPr>
        <w:t xml:space="preserve"> </w:t>
      </w:r>
      <w:r w:rsidRPr="00F4732E">
        <w:rPr>
          <w:b w:val="0"/>
          <w:bCs w:val="0"/>
          <w:sz w:val="24"/>
        </w:rPr>
        <w:t xml:space="preserve">022-03/20-07/306, </w:t>
      </w:r>
      <w:r w:rsidR="00810733" w:rsidRPr="00F4732E">
        <w:rPr>
          <w:b w:val="0"/>
          <w:bCs w:val="0"/>
          <w:sz w:val="24"/>
        </w:rPr>
        <w:t>URBROJ</w:t>
      </w:r>
      <w:r w:rsidRPr="00F4732E">
        <w:rPr>
          <w:b w:val="0"/>
          <w:bCs w:val="0"/>
          <w:sz w:val="24"/>
        </w:rPr>
        <w:t>:</w:t>
      </w:r>
      <w:r w:rsidR="00810733">
        <w:rPr>
          <w:b w:val="0"/>
          <w:bCs w:val="0"/>
          <w:sz w:val="24"/>
        </w:rPr>
        <w:t xml:space="preserve"> </w:t>
      </w:r>
      <w:r w:rsidRPr="00F4732E">
        <w:rPr>
          <w:b w:val="0"/>
          <w:bCs w:val="0"/>
          <w:sz w:val="24"/>
        </w:rPr>
        <w:t xml:space="preserve">50301-05/27-20-2 kojim je zadužila Ministarstvo financija da sudjeluje u elektroničkoj javnoj dražbi koju provodi </w:t>
      </w:r>
      <w:r w:rsidRPr="00F4732E">
        <w:rPr>
          <w:b w:val="0"/>
          <w:bCs w:val="0"/>
          <w:sz w:val="24"/>
        </w:rPr>
        <w:lastRenderedPageBreak/>
        <w:t xml:space="preserve">Financijska agencija od 12. kolovoza 2020. do 3. studenog 2020., preda ponudu za kupnju broda Nov. 514 kao dijela stečajne mase društva Uljanik d.d. u stečaju, Pula, ponudi početnu cijenu od 142.141.173,00 kuna i eventualno licitira do maksimalnog iznosa svojih potraživanja od 174.285.865,34 kune, kupi brod Nov. 514 i prenese Ministarstvu prostornog uređenja, graditeljstva i državne imovine na upravljanje. S tim u vezi, Rješenjem Trgovačkog suda u Pazinu Broj: 1 St-95/2019-407 od 10. studenog 2020. godine, kupcu Republici Hrvatskoj, Ministarstvu financija, dosuđen je brod u gradnji ULJANIK 514, za iznos od 142.141.172,80 kuna. Temeljem istog Rješenja, Ministarstvo financija je dana 30. studenoga 2020. godine uplatilo puni iznos </w:t>
      </w:r>
      <w:proofErr w:type="spellStart"/>
      <w:r w:rsidRPr="00F4732E">
        <w:rPr>
          <w:b w:val="0"/>
          <w:bCs w:val="0"/>
          <w:sz w:val="24"/>
        </w:rPr>
        <w:t>kupovnine</w:t>
      </w:r>
      <w:proofErr w:type="spellEnd"/>
      <w:r w:rsidRPr="00F4732E">
        <w:rPr>
          <w:b w:val="0"/>
          <w:bCs w:val="0"/>
          <w:sz w:val="24"/>
        </w:rPr>
        <w:t xml:space="preserve"> te je dana 7. prosinca 2020. godine Trgovački sud u Pazinu donio Zaključak o predaji broda u gradnji ULJANIK 514 Republici Hrvatskoj, Ministarstvu financija.</w:t>
      </w:r>
    </w:p>
    <w:p w14:paraId="315A2C91" w14:textId="77777777" w:rsidR="00AC7946" w:rsidRPr="00F4732E" w:rsidRDefault="00AC7946" w:rsidP="00AC7946">
      <w:pPr>
        <w:pStyle w:val="Naslov"/>
        <w:keepNext/>
        <w:jc w:val="both"/>
        <w:rPr>
          <w:b w:val="0"/>
          <w:bCs w:val="0"/>
          <w:sz w:val="24"/>
        </w:rPr>
      </w:pPr>
    </w:p>
    <w:p w14:paraId="6B6C7A8F" w14:textId="7A8E8F5A" w:rsidR="00AC7946" w:rsidRPr="00F4732E" w:rsidRDefault="00AC7946" w:rsidP="00AC7946">
      <w:pPr>
        <w:pStyle w:val="Naslov"/>
        <w:keepNext/>
        <w:jc w:val="both"/>
        <w:rPr>
          <w:b w:val="0"/>
          <w:bCs w:val="0"/>
          <w:sz w:val="24"/>
        </w:rPr>
      </w:pPr>
      <w:r w:rsidRPr="00F4732E">
        <w:rPr>
          <w:b w:val="0"/>
          <w:bCs w:val="0"/>
          <w:sz w:val="24"/>
        </w:rPr>
        <w:t xml:space="preserve">Dodatno, dana 17. svibnja 2021. godine zaključen je Ugovor o unovčenju pokretnina opterećenih </w:t>
      </w:r>
      <w:proofErr w:type="spellStart"/>
      <w:r w:rsidRPr="00F4732E">
        <w:rPr>
          <w:b w:val="0"/>
          <w:bCs w:val="0"/>
          <w:sz w:val="24"/>
        </w:rPr>
        <w:t>razlučnim</w:t>
      </w:r>
      <w:proofErr w:type="spellEnd"/>
      <w:r w:rsidRPr="00F4732E">
        <w:rPr>
          <w:b w:val="0"/>
          <w:bCs w:val="0"/>
          <w:sz w:val="24"/>
        </w:rPr>
        <w:t xml:space="preserve"> pravom između Ministarstva financija i društva Uljanik Brodogradilište d.d. u stečaju. Navedenim Ugovorom izvršen je prijeboj tražbine Ministarstva financija na ime plaćenih državnih jamstava sa </w:t>
      </w:r>
      <w:proofErr w:type="spellStart"/>
      <w:r w:rsidRPr="00F4732E">
        <w:rPr>
          <w:b w:val="0"/>
          <w:bCs w:val="0"/>
          <w:sz w:val="24"/>
        </w:rPr>
        <w:t>protutražbinom</w:t>
      </w:r>
      <w:proofErr w:type="spellEnd"/>
      <w:r w:rsidRPr="00F4732E">
        <w:rPr>
          <w:b w:val="0"/>
          <w:bCs w:val="0"/>
          <w:sz w:val="24"/>
        </w:rPr>
        <w:t xml:space="preserve"> Uljanik Brodogradilišta d.d. u stečaju po osnovi utvrđene vrijednosti pokretnina u iznosu od 82.400.336,38 kuna.</w:t>
      </w:r>
    </w:p>
    <w:p w14:paraId="4A1E77FD" w14:textId="528291E9" w:rsidR="00AC7946" w:rsidRPr="00F4732E" w:rsidRDefault="00AC7946" w:rsidP="00AC7946">
      <w:pPr>
        <w:pStyle w:val="Naslov"/>
        <w:keepNext/>
        <w:jc w:val="both"/>
        <w:rPr>
          <w:b w:val="0"/>
          <w:bCs w:val="0"/>
          <w:sz w:val="24"/>
        </w:rPr>
      </w:pPr>
    </w:p>
    <w:p w14:paraId="65B518AF" w14:textId="28940F11" w:rsidR="00AC7946" w:rsidRPr="00A8174F" w:rsidRDefault="00AC7946" w:rsidP="00A8174F">
      <w:pPr>
        <w:pStyle w:val="Naslov"/>
        <w:keepNext/>
        <w:jc w:val="both"/>
        <w:rPr>
          <w:b w:val="0"/>
          <w:bCs w:val="0"/>
          <w:sz w:val="24"/>
        </w:rPr>
      </w:pPr>
      <w:r w:rsidRPr="00F4732E">
        <w:rPr>
          <w:b w:val="0"/>
          <w:bCs w:val="0"/>
          <w:sz w:val="24"/>
        </w:rPr>
        <w:t>Podaci u stupcu Ostvareno u izvještajnom razdoblju prethodne godine u iznosu od 699.916.661 kuna dobiveni su prilagodbom podataka sukladno novoj metodologiji iskazivanja protestiranih jamstava.</w:t>
      </w:r>
    </w:p>
    <w:p w14:paraId="2F1025A7" w14:textId="7C9896D4" w:rsidR="003F5334" w:rsidRDefault="003F5334" w:rsidP="003F5334">
      <w:pPr>
        <w:shd w:val="clear" w:color="auto" w:fill="FFFFFF"/>
        <w:jc w:val="both"/>
        <w:rPr>
          <w:color w:val="000000"/>
        </w:rPr>
      </w:pPr>
    </w:p>
    <w:p w14:paraId="27897979" w14:textId="61429ED8" w:rsidR="0066436A" w:rsidRPr="00F4732E" w:rsidRDefault="00F4732E" w:rsidP="0066436A">
      <w:pPr>
        <w:shd w:val="clear" w:color="auto" w:fill="FFFFFF"/>
        <w:jc w:val="center"/>
        <w:rPr>
          <w:color w:val="000000"/>
          <w:sz w:val="28"/>
          <w:szCs w:val="28"/>
        </w:rPr>
      </w:pPr>
      <w:r w:rsidRPr="00F4732E">
        <w:rPr>
          <w:color w:val="000000"/>
          <w:sz w:val="28"/>
          <w:szCs w:val="28"/>
        </w:rPr>
        <w:t>Bilješka 16</w:t>
      </w:r>
      <w:r w:rsidR="0066436A" w:rsidRPr="00F4732E">
        <w:rPr>
          <w:color w:val="000000"/>
          <w:sz w:val="28"/>
          <w:szCs w:val="28"/>
        </w:rPr>
        <w:t>.</w:t>
      </w:r>
    </w:p>
    <w:p w14:paraId="2864694F" w14:textId="390D3C47" w:rsidR="0066436A" w:rsidRPr="00F4732E" w:rsidRDefault="0066436A" w:rsidP="00F4732E">
      <w:pPr>
        <w:jc w:val="center"/>
        <w:rPr>
          <w:b/>
        </w:rPr>
      </w:pPr>
      <w:r w:rsidRPr="00F4732E">
        <w:rPr>
          <w:color w:val="000000"/>
          <w:sz w:val="28"/>
          <w:szCs w:val="28"/>
        </w:rPr>
        <w:t>AOP 180 Računalne usluge</w:t>
      </w:r>
    </w:p>
    <w:p w14:paraId="6B07620E" w14:textId="3DD95244" w:rsidR="0066436A" w:rsidRPr="00F4732E" w:rsidRDefault="0066436A" w:rsidP="0066436A">
      <w:pPr>
        <w:jc w:val="both"/>
      </w:pPr>
      <w:r w:rsidRPr="00F4732E">
        <w:t>Računalne usluge su u 2021. godini izvr</w:t>
      </w:r>
      <w:r w:rsidR="00A8174F" w:rsidRPr="00F4732E">
        <w:t>šene u iznosu od 11.356.526</w:t>
      </w:r>
      <w:r w:rsidRPr="00F4732E">
        <w:t xml:space="preserve"> kuna što je gotovo na razini izvršenja 2020. godine. Najveći udio u ovim rashodima u iznosu od 11.194.026 kuna odnosi se na rashode održavanja računalnih informacijskih sustava za podršku radu informacijskog sustava državne riznice temeljem Ugovora o obavljanju određenih poslova za potrebe Ministarstva financija zaključenog s Financijskom agencijom (FINA).</w:t>
      </w:r>
    </w:p>
    <w:p w14:paraId="41C2B6B3" w14:textId="33D08E10" w:rsidR="0066436A" w:rsidRPr="00F4732E" w:rsidRDefault="0066436A" w:rsidP="0066436A">
      <w:pPr>
        <w:jc w:val="both"/>
      </w:pPr>
    </w:p>
    <w:p w14:paraId="7467E8F7" w14:textId="2902AD11" w:rsidR="004F4A15" w:rsidRPr="00F4732E" w:rsidRDefault="00F4732E" w:rsidP="004F4A15">
      <w:pPr>
        <w:pStyle w:val="Naslov"/>
        <w:keepNext/>
        <w:rPr>
          <w:b w:val="0"/>
          <w:bCs w:val="0"/>
        </w:rPr>
      </w:pPr>
      <w:r w:rsidRPr="00F4732E">
        <w:rPr>
          <w:b w:val="0"/>
          <w:bCs w:val="0"/>
        </w:rPr>
        <w:t>Bilješka 17</w:t>
      </w:r>
      <w:r w:rsidR="004F4A15" w:rsidRPr="00F4732E">
        <w:rPr>
          <w:b w:val="0"/>
          <w:bCs w:val="0"/>
        </w:rPr>
        <w:t>.</w:t>
      </w:r>
    </w:p>
    <w:p w14:paraId="51613CA6" w14:textId="14140DE3" w:rsidR="004F4A15" w:rsidRPr="00F4732E" w:rsidRDefault="00432370" w:rsidP="004F4A15">
      <w:pPr>
        <w:pStyle w:val="Naslov"/>
        <w:keepNext/>
        <w:rPr>
          <w:b w:val="0"/>
          <w:bCs w:val="0"/>
        </w:rPr>
      </w:pPr>
      <w:r w:rsidRPr="00F4732E">
        <w:rPr>
          <w:b w:val="0"/>
          <w:bCs w:val="0"/>
        </w:rPr>
        <w:t>AOP 189</w:t>
      </w:r>
      <w:r w:rsidR="004F4A15" w:rsidRPr="00F4732E">
        <w:rPr>
          <w:b w:val="0"/>
          <w:bCs w:val="0"/>
        </w:rPr>
        <w:t xml:space="preserve"> Troškovi sudskih postupaka</w:t>
      </w:r>
    </w:p>
    <w:p w14:paraId="22B4BFA9" w14:textId="1376797B" w:rsidR="00432370" w:rsidRPr="00F4732E" w:rsidRDefault="004F4A15" w:rsidP="00432370">
      <w:pPr>
        <w:pStyle w:val="Naslov"/>
        <w:jc w:val="both"/>
        <w:rPr>
          <w:b w:val="0"/>
          <w:bCs w:val="0"/>
          <w:color w:val="000000" w:themeColor="text1"/>
          <w:sz w:val="24"/>
        </w:rPr>
      </w:pPr>
      <w:r w:rsidRPr="00F4732E">
        <w:rPr>
          <w:b w:val="0"/>
          <w:bCs w:val="0"/>
          <w:sz w:val="24"/>
        </w:rPr>
        <w:t>U 2021. godini na ime troškova sudskih postupaka ostvareno je 43.431.583 kuna</w:t>
      </w:r>
      <w:r w:rsidR="00A8174F" w:rsidRPr="00F4732E">
        <w:rPr>
          <w:b w:val="0"/>
          <w:bCs w:val="0"/>
          <w:sz w:val="24"/>
        </w:rPr>
        <w:t xml:space="preserve"> rashoda</w:t>
      </w:r>
      <w:r w:rsidRPr="00F4732E">
        <w:rPr>
          <w:b w:val="0"/>
          <w:bCs w:val="0"/>
          <w:sz w:val="24"/>
        </w:rPr>
        <w:t xml:space="preserve"> odnosno 114% više u odnosu na ostvarene rashode u 2020. </w:t>
      </w:r>
      <w:r w:rsidR="00432370" w:rsidRPr="00F4732E">
        <w:rPr>
          <w:b w:val="0"/>
          <w:bCs w:val="0"/>
          <w:color w:val="000000" w:themeColor="text1"/>
          <w:sz w:val="24"/>
        </w:rPr>
        <w:t xml:space="preserve">Republika Hrvatska, Ministarstvo financija kao </w:t>
      </w:r>
      <w:proofErr w:type="spellStart"/>
      <w:r w:rsidR="00432370" w:rsidRPr="00F4732E">
        <w:rPr>
          <w:b w:val="0"/>
          <w:bCs w:val="0"/>
          <w:color w:val="000000" w:themeColor="text1"/>
          <w:sz w:val="24"/>
        </w:rPr>
        <w:t>razlučni</w:t>
      </w:r>
      <w:proofErr w:type="spellEnd"/>
      <w:r w:rsidR="00432370" w:rsidRPr="00F4732E">
        <w:rPr>
          <w:b w:val="0"/>
          <w:bCs w:val="0"/>
          <w:color w:val="000000" w:themeColor="text1"/>
          <w:sz w:val="24"/>
        </w:rPr>
        <w:t xml:space="preserve"> vjerovnik i društvo Uljanik brodogradilište d.d. u stečaju kao stečajni dužnik zaključili su dana 17. svibnja 2021. godine Ugovor o unovčenju pokretnina opterećenih </w:t>
      </w:r>
      <w:proofErr w:type="spellStart"/>
      <w:r w:rsidR="00432370" w:rsidRPr="00F4732E">
        <w:rPr>
          <w:b w:val="0"/>
          <w:bCs w:val="0"/>
          <w:color w:val="000000" w:themeColor="text1"/>
          <w:sz w:val="24"/>
        </w:rPr>
        <w:t>razlučnim</w:t>
      </w:r>
      <w:proofErr w:type="spellEnd"/>
      <w:r w:rsidR="00432370" w:rsidRPr="00F4732E">
        <w:rPr>
          <w:b w:val="0"/>
          <w:bCs w:val="0"/>
          <w:color w:val="000000" w:themeColor="text1"/>
          <w:sz w:val="24"/>
        </w:rPr>
        <w:t xml:space="preserve"> pravom u iznosu od 102.721.000,00 kuna. Sukladno navedenom Ugovoru, Ministarstvo financija je stavilo u prijeboj svoju tražbinu na ime protestiranih državnih jamstava koja je osigurana </w:t>
      </w:r>
      <w:proofErr w:type="spellStart"/>
      <w:r w:rsidR="00432370" w:rsidRPr="00F4732E">
        <w:rPr>
          <w:b w:val="0"/>
          <w:bCs w:val="0"/>
          <w:color w:val="000000" w:themeColor="text1"/>
          <w:sz w:val="24"/>
        </w:rPr>
        <w:t>razlučnim</w:t>
      </w:r>
      <w:proofErr w:type="spellEnd"/>
      <w:r w:rsidR="00432370" w:rsidRPr="00F4732E">
        <w:rPr>
          <w:b w:val="0"/>
          <w:bCs w:val="0"/>
          <w:color w:val="000000" w:themeColor="text1"/>
          <w:sz w:val="24"/>
        </w:rPr>
        <w:t xml:space="preserve"> pravom na spomenutim pokretninama s </w:t>
      </w:r>
      <w:proofErr w:type="spellStart"/>
      <w:r w:rsidR="00432370" w:rsidRPr="00F4732E">
        <w:rPr>
          <w:b w:val="0"/>
          <w:bCs w:val="0"/>
          <w:color w:val="000000" w:themeColor="text1"/>
          <w:sz w:val="24"/>
        </w:rPr>
        <w:t>protutražbinom</w:t>
      </w:r>
      <w:proofErr w:type="spellEnd"/>
      <w:r w:rsidR="00432370" w:rsidRPr="00F4732E">
        <w:rPr>
          <w:b w:val="0"/>
          <w:bCs w:val="0"/>
          <w:color w:val="000000" w:themeColor="text1"/>
          <w:sz w:val="24"/>
        </w:rPr>
        <w:t xml:space="preserve"> stečajnog dužnika Uljanik brodogradilište d.d. u stečaju po osnovi utvrđene vrijednosti pokretnina. Slijedom navedenoga, Ministarstvo financija kao </w:t>
      </w:r>
      <w:proofErr w:type="spellStart"/>
      <w:r w:rsidR="00432370" w:rsidRPr="00F4732E">
        <w:rPr>
          <w:b w:val="0"/>
          <w:bCs w:val="0"/>
          <w:color w:val="000000" w:themeColor="text1"/>
          <w:sz w:val="24"/>
        </w:rPr>
        <w:t>razlučni</w:t>
      </w:r>
      <w:proofErr w:type="spellEnd"/>
      <w:r w:rsidR="00432370" w:rsidRPr="00F4732E">
        <w:rPr>
          <w:b w:val="0"/>
          <w:bCs w:val="0"/>
          <w:color w:val="000000" w:themeColor="text1"/>
          <w:sz w:val="24"/>
        </w:rPr>
        <w:t xml:space="preserve"> vjerovnik namirilo je stečajnom dužniku Uljanik</w:t>
      </w:r>
      <w:r w:rsidR="00A8174F" w:rsidRPr="00F4732E">
        <w:rPr>
          <w:b w:val="0"/>
          <w:bCs w:val="0"/>
          <w:color w:val="000000" w:themeColor="text1"/>
          <w:sz w:val="24"/>
        </w:rPr>
        <w:t xml:space="preserve"> brodogradilište d.d. u stečaju</w:t>
      </w:r>
      <w:r w:rsidR="00432370" w:rsidRPr="00F4732E">
        <w:rPr>
          <w:b w:val="0"/>
          <w:bCs w:val="0"/>
          <w:color w:val="000000" w:themeColor="text1"/>
          <w:sz w:val="24"/>
        </w:rPr>
        <w:t xml:space="preserve"> troškove unovčenja pokretnina u visini od 5% od utroška odnosno 5.136.050,00 kuna i PDV kojim je stečajna masa opterećena u iznosu od 25.680.250,00 kuna.</w:t>
      </w:r>
    </w:p>
    <w:p w14:paraId="5DD52393" w14:textId="77777777" w:rsidR="00432370" w:rsidRPr="00F4732E" w:rsidRDefault="00432370" w:rsidP="00432370">
      <w:pPr>
        <w:pStyle w:val="Naslov"/>
        <w:jc w:val="both"/>
        <w:rPr>
          <w:b w:val="0"/>
          <w:bCs w:val="0"/>
          <w:color w:val="000000" w:themeColor="text1"/>
          <w:sz w:val="24"/>
        </w:rPr>
      </w:pPr>
    </w:p>
    <w:p w14:paraId="62E6C3F7" w14:textId="1C46581F" w:rsidR="0066436A" w:rsidRPr="00F4732E" w:rsidRDefault="00432370" w:rsidP="00432370">
      <w:pPr>
        <w:pStyle w:val="Naslov"/>
        <w:jc w:val="both"/>
        <w:rPr>
          <w:b w:val="0"/>
          <w:bCs w:val="0"/>
          <w:color w:val="000000" w:themeColor="text1"/>
          <w:sz w:val="24"/>
        </w:rPr>
      </w:pPr>
      <w:r w:rsidRPr="00F4732E">
        <w:rPr>
          <w:b w:val="0"/>
          <w:bCs w:val="0"/>
          <w:color w:val="000000" w:themeColor="text1"/>
          <w:sz w:val="24"/>
        </w:rPr>
        <w:t xml:space="preserve">U stečajnom postupku društva Uljanik d.d. u stečaju Ministarstvo financija je izvršilo prijeboj svoje tražbine s osnove protestiranih i plaćenih državnih jamstava priznate u stečajnom postupku sa </w:t>
      </w:r>
      <w:proofErr w:type="spellStart"/>
      <w:r w:rsidRPr="00F4732E">
        <w:rPr>
          <w:b w:val="0"/>
          <w:bCs w:val="0"/>
          <w:color w:val="000000" w:themeColor="text1"/>
          <w:sz w:val="24"/>
        </w:rPr>
        <w:t>protutražbinom</w:t>
      </w:r>
      <w:proofErr w:type="spellEnd"/>
      <w:r w:rsidRPr="00F4732E">
        <w:rPr>
          <w:b w:val="0"/>
          <w:bCs w:val="0"/>
          <w:color w:val="000000" w:themeColor="text1"/>
          <w:sz w:val="24"/>
        </w:rPr>
        <w:t xml:space="preserve"> Uljanika d.d. u stečaju po osnovu cijene u visini utvrđene vrijednosti broda u gradnji Uljanik 531 u iznosu od 72.374.569,20 kuna. Slijedom navedenoga, a sukladno Rješenju Trgovačkog suda u Pazinu od 5. svibnja 2021. godine o dosudi navedenog broda, Republika Hrvatska, Ministarstvo financija namirilo je troškove unovčenja predmeta </w:t>
      </w:r>
      <w:proofErr w:type="spellStart"/>
      <w:r w:rsidRPr="00F4732E">
        <w:rPr>
          <w:b w:val="0"/>
          <w:bCs w:val="0"/>
          <w:color w:val="000000" w:themeColor="text1"/>
          <w:sz w:val="24"/>
        </w:rPr>
        <w:t>razlučnog</w:t>
      </w:r>
      <w:proofErr w:type="spellEnd"/>
      <w:r w:rsidRPr="00F4732E">
        <w:rPr>
          <w:b w:val="0"/>
          <w:bCs w:val="0"/>
          <w:color w:val="000000" w:themeColor="text1"/>
          <w:sz w:val="24"/>
        </w:rPr>
        <w:t xml:space="preserve"> prava u iznosu od 5.860.546,19 kuna.</w:t>
      </w:r>
    </w:p>
    <w:p w14:paraId="51AF60EC" w14:textId="77777777" w:rsidR="00A8174F" w:rsidRPr="00F4732E" w:rsidRDefault="00A8174F" w:rsidP="00432370">
      <w:pPr>
        <w:pStyle w:val="Naslov"/>
        <w:jc w:val="both"/>
        <w:rPr>
          <w:b w:val="0"/>
          <w:bCs w:val="0"/>
          <w:color w:val="000000" w:themeColor="text1"/>
          <w:sz w:val="24"/>
        </w:rPr>
      </w:pPr>
    </w:p>
    <w:p w14:paraId="06B0AC3F" w14:textId="5B2EAA74" w:rsidR="006446D3" w:rsidRPr="00F4732E" w:rsidRDefault="00F4732E" w:rsidP="006446D3">
      <w:pPr>
        <w:keepNext/>
        <w:jc w:val="center"/>
        <w:rPr>
          <w:sz w:val="28"/>
        </w:rPr>
      </w:pPr>
      <w:r w:rsidRPr="00F4732E">
        <w:rPr>
          <w:sz w:val="28"/>
        </w:rPr>
        <w:t>Bilješka 18</w:t>
      </w:r>
      <w:r w:rsidR="006446D3" w:rsidRPr="00F4732E">
        <w:rPr>
          <w:sz w:val="28"/>
        </w:rPr>
        <w:t>.</w:t>
      </w:r>
    </w:p>
    <w:p w14:paraId="42CC9187" w14:textId="74E4B7B5" w:rsidR="006446D3" w:rsidRPr="00F4732E" w:rsidRDefault="006446D3" w:rsidP="006446D3">
      <w:pPr>
        <w:keepNext/>
        <w:jc w:val="center"/>
        <w:rPr>
          <w:sz w:val="28"/>
        </w:rPr>
      </w:pPr>
      <w:r w:rsidRPr="00F4732E">
        <w:rPr>
          <w:sz w:val="28"/>
        </w:rPr>
        <w:t>AOP 193 Kamata na izdane trezorske zapise, AOP 195 Kamate za izdane obveznice i AOP 200 Kamate za primljene kredite i zajmove od kreditnih i ostalih financijskih institucija izvan javnog sektora</w:t>
      </w:r>
    </w:p>
    <w:p w14:paraId="3CF7BB10" w14:textId="4E942004" w:rsidR="006446D3" w:rsidRPr="00F4732E" w:rsidRDefault="003A2F55" w:rsidP="006446D3">
      <w:pPr>
        <w:keepNext/>
        <w:jc w:val="both"/>
      </w:pPr>
      <w:r w:rsidRPr="00F4732E">
        <w:t>U 2021. evidentirano je 13,1 milijuna kuna kamata za izdane trezorske zapise što je manje za 1,7  milijuna kuna u odnosu na 2020. Tijekom 2021. godine došlo je do smanjenja kamatnih stopa po svim vrstama izd</w:t>
      </w:r>
      <w:r w:rsidR="006C6577">
        <w:t>anja trezorskih zapisa. Tako su</w:t>
      </w:r>
      <w:r w:rsidRPr="00F4732E">
        <w:t xml:space="preserve"> kamatne stope na trezorske zapise u kunama s rokom od 364 dana potkraj 2021. iznosile  0,0% dok su potkraj 2020. godine bile 0,06%. Smanjene su i kamatne stope na trezorske zapise s valutnom klauzulom s rokom od 364 dana s -0,05% koliko su iznosile potkraj 2020. go</w:t>
      </w:r>
      <w:r w:rsidR="008553E4" w:rsidRPr="00F4732E">
        <w:t xml:space="preserve">dine na  -0,15% potkraj 2021. </w:t>
      </w:r>
      <w:r w:rsidRPr="00F4732E">
        <w:t xml:space="preserve">Kamatne stope na </w:t>
      </w:r>
      <w:proofErr w:type="spellStart"/>
      <w:r w:rsidRPr="00F4732E">
        <w:t>eurske</w:t>
      </w:r>
      <w:proofErr w:type="spellEnd"/>
      <w:r w:rsidRPr="00F4732E">
        <w:t xml:space="preserve"> trezorske zapise (plative u eurima) s rokom dospijeća od 364 dana iznosile su -0,05% dok su u 2020. </w:t>
      </w:r>
      <w:r w:rsidR="008553E4" w:rsidRPr="00F4732E">
        <w:t>iznosile</w:t>
      </w:r>
      <w:r w:rsidRPr="00F4732E">
        <w:t xml:space="preserve"> 0,06%.</w:t>
      </w:r>
    </w:p>
    <w:p w14:paraId="06D0388C" w14:textId="77777777" w:rsidR="006446D3" w:rsidRPr="00F4732E" w:rsidRDefault="006446D3" w:rsidP="006446D3">
      <w:pPr>
        <w:jc w:val="both"/>
      </w:pPr>
    </w:p>
    <w:p w14:paraId="7D15FD44" w14:textId="1390CE5C" w:rsidR="006446D3" w:rsidRPr="00F4732E" w:rsidRDefault="006446D3" w:rsidP="006446D3">
      <w:pPr>
        <w:jc w:val="both"/>
      </w:pPr>
      <w:r w:rsidRPr="00F4732E">
        <w:t>Kamate za izdane domaće i inozemne obveznice u 2021. evidentira</w:t>
      </w:r>
      <w:r w:rsidR="006C6577">
        <w:t>ne su u iznosu od 6.259.861.960 kuna.</w:t>
      </w:r>
    </w:p>
    <w:p w14:paraId="4FA21290" w14:textId="77777777" w:rsidR="006446D3" w:rsidRPr="00F4732E" w:rsidRDefault="006446D3" w:rsidP="006446D3">
      <w:pPr>
        <w:jc w:val="both"/>
      </w:pPr>
    </w:p>
    <w:p w14:paraId="5FE8E455" w14:textId="577467D7" w:rsidR="006446D3" w:rsidRPr="00F4732E" w:rsidRDefault="00863A40" w:rsidP="00863A40">
      <w:pPr>
        <w:jc w:val="both"/>
      </w:pPr>
      <w:r w:rsidRPr="00F4732E">
        <w:t>Republika Hrvatska zastupana po Ministarstvu financija je 30. lipnja 2021. godine donijela odluku o izdanju obveznica uz plasman na domaćem tržištu kapitala u iznosu od 9 milijardi kuna. Obveznice su izdane po cijeni 99,774% nominalnog iznosa. Uplata po ovim obveznicama bila je 5. srpnja 2021. godine, a dospijeće obveznica je 5. srpnja 2028. godine. Kamatni kupon je nepromjenjiv i iznosi 0,50%, a isplaćivat će se polugodišnje.</w:t>
      </w:r>
    </w:p>
    <w:p w14:paraId="27C0760E" w14:textId="1B580573" w:rsidR="00863A40" w:rsidRPr="00F4732E" w:rsidRDefault="00863A40" w:rsidP="00863A40">
      <w:pPr>
        <w:jc w:val="both"/>
      </w:pPr>
    </w:p>
    <w:p w14:paraId="49F76D63" w14:textId="77777777" w:rsidR="00863A40" w:rsidRPr="00F4732E" w:rsidRDefault="00863A40" w:rsidP="00863A40">
      <w:pPr>
        <w:jc w:val="both"/>
      </w:pPr>
      <w:r w:rsidRPr="00F4732E">
        <w:t xml:space="preserve">Republika Hrvatska je u ožujku uspješno realizirala izdanje dvije tranše </w:t>
      </w:r>
      <w:proofErr w:type="spellStart"/>
      <w:r w:rsidRPr="00F4732E">
        <w:t>euroobveznica</w:t>
      </w:r>
      <w:proofErr w:type="spellEnd"/>
      <w:r w:rsidRPr="00F4732E">
        <w:t xml:space="preserve"> na međunarodnom financijskom tržištu i to dvanaestogodišnjih i dvadesetogodišnjih obveznica. Obveznice u iznosu 1 milijarde eura su izdane po cijeni od 98,538% nominalnog iznosa uz nepromjenjivi kamatni kupon od 1,125% godišnje, što čini prinos do dospijeća od 1,257%. Obveznice su uplaćene 4. ožujka 2021., a datum dospijeća obveznica je 4. ožujka 2033. Obveznice u iznosu 1 milijarde eura su izdane po cijeni od 99,366% nominalnog iznosa uz nepromjenjivi kamatni kupon od 1,75% godišnje, što čini prinos do dospijeća od 1,788%. Obveznice su uplaćene 4. ožujka 2021., a datum dospijeća obveznica je 4. ožujka 2041. </w:t>
      </w:r>
    </w:p>
    <w:p w14:paraId="342C4FB3" w14:textId="77777777" w:rsidR="00863A40" w:rsidRPr="00F4732E" w:rsidRDefault="00863A40" w:rsidP="00863A40">
      <w:pPr>
        <w:jc w:val="both"/>
      </w:pPr>
    </w:p>
    <w:p w14:paraId="1AD5BCBC" w14:textId="22FA4C9D" w:rsidR="00863A40" w:rsidRPr="00F4732E" w:rsidRDefault="00863A40" w:rsidP="00863A40">
      <w:pPr>
        <w:jc w:val="both"/>
      </w:pPr>
      <w:r w:rsidRPr="00F4732E">
        <w:t xml:space="preserve">Sredstva prikupljena ovim izdanjem iskoristila su se, između ostalog, za refinanciranje </w:t>
      </w:r>
      <w:proofErr w:type="spellStart"/>
      <w:r w:rsidRPr="00F4732E">
        <w:t>eurobveznica</w:t>
      </w:r>
      <w:proofErr w:type="spellEnd"/>
      <w:r w:rsidRPr="00F4732E">
        <w:t xml:space="preserve"> Republike Hrvatske u iznosu od 1,5 milijarde dolara koje su dospjele 24. ožujka 2021. godine. Ova desetogodišnja dolarska obveznica izdana je u ožujku 2011. godine uz nepromjenjivi kamatni kupon 6,375% godišnje. S obzirom na niske kuponske stope ostvarene novim izdanjima bit će ostvarene značajne uštede u smislu troška kamata od preko 160 milijuna kuna na godišnjoj razini na iznos refinanciranja.</w:t>
      </w:r>
    </w:p>
    <w:p w14:paraId="1322543F" w14:textId="77777777" w:rsidR="00863A40" w:rsidRPr="00F4732E" w:rsidRDefault="00863A40" w:rsidP="00863A40">
      <w:pPr>
        <w:jc w:val="both"/>
      </w:pPr>
    </w:p>
    <w:p w14:paraId="048C8193" w14:textId="5E48A195" w:rsidR="006446D3" w:rsidRPr="00F4732E" w:rsidRDefault="006446D3" w:rsidP="006446D3">
      <w:pPr>
        <w:jc w:val="both"/>
      </w:pPr>
      <w:r w:rsidRPr="00F4732E">
        <w:t xml:space="preserve">Kamate za primljene kredite i zajmove od kreditnih i ostalih financijskih institucija izvan javnog sektora u 2021. godini iznosile su 239,4 milijuna kuna. </w:t>
      </w:r>
    </w:p>
    <w:p w14:paraId="1D539F13" w14:textId="77777777" w:rsidR="006446D3" w:rsidRPr="00F4732E" w:rsidRDefault="006446D3" w:rsidP="006446D3">
      <w:pPr>
        <w:jc w:val="both"/>
      </w:pPr>
    </w:p>
    <w:p w14:paraId="04DF42C6" w14:textId="1C87F4B3" w:rsidR="003F5334" w:rsidRDefault="00863A40" w:rsidP="00863A40">
      <w:pPr>
        <w:shd w:val="clear" w:color="auto" w:fill="FFFFFF"/>
        <w:jc w:val="both"/>
        <w:rPr>
          <w:color w:val="000000"/>
        </w:rPr>
      </w:pPr>
      <w:r w:rsidRPr="00F4732E">
        <w:rPr>
          <w:color w:val="000000"/>
        </w:rPr>
        <w:t xml:space="preserve">Republika Hrvatska se u lipnju zadužila na domaćem financijskom tržištu u iznosu 3 milijarde kuna uz fiksnu kamatnu stopu 0,298% godišnje. </w:t>
      </w:r>
      <w:r w:rsidR="00AB5457" w:rsidRPr="00F4732E">
        <w:rPr>
          <w:color w:val="000000"/>
        </w:rPr>
        <w:t xml:space="preserve"> </w:t>
      </w:r>
      <w:r w:rsidRPr="00F4732E">
        <w:rPr>
          <w:color w:val="000000"/>
        </w:rPr>
        <w:t>U istom mjesecu Republika Hrvatska se zadužila na domaćem financijskom tržištu u iznosu 2 milijarde kuna, uz fiksnu kamatnu stopu 0,198% godišnje</w:t>
      </w:r>
      <w:r w:rsidR="00AB5457" w:rsidRPr="00F4732E">
        <w:rPr>
          <w:color w:val="000000"/>
        </w:rPr>
        <w:t>.</w:t>
      </w:r>
    </w:p>
    <w:p w14:paraId="26C333CC" w14:textId="77777777" w:rsidR="00AB5457" w:rsidRDefault="00AB5457" w:rsidP="00863A40">
      <w:pPr>
        <w:shd w:val="clear" w:color="auto" w:fill="FFFFFF"/>
        <w:jc w:val="both"/>
        <w:rPr>
          <w:color w:val="000000"/>
        </w:rPr>
      </w:pPr>
    </w:p>
    <w:p w14:paraId="688A861E" w14:textId="76C39B1C" w:rsidR="007E2B44" w:rsidRPr="005E2FA3" w:rsidRDefault="00F4732E" w:rsidP="007E2B44">
      <w:pPr>
        <w:pStyle w:val="Naslov"/>
        <w:keepNext/>
        <w:rPr>
          <w:b w:val="0"/>
          <w:bCs w:val="0"/>
        </w:rPr>
      </w:pPr>
      <w:r w:rsidRPr="005E2FA3">
        <w:rPr>
          <w:b w:val="0"/>
          <w:bCs w:val="0"/>
        </w:rPr>
        <w:lastRenderedPageBreak/>
        <w:t>Bilješka 19</w:t>
      </w:r>
      <w:r w:rsidR="007E2B44" w:rsidRPr="005E2FA3">
        <w:rPr>
          <w:b w:val="0"/>
          <w:bCs w:val="0"/>
        </w:rPr>
        <w:t>.</w:t>
      </w:r>
    </w:p>
    <w:p w14:paraId="254817AC" w14:textId="7C33398B" w:rsidR="007E2B44" w:rsidRPr="005E2FA3" w:rsidRDefault="007E341F" w:rsidP="007E2B44">
      <w:pPr>
        <w:pStyle w:val="Naslov"/>
        <w:keepNext/>
        <w:rPr>
          <w:b w:val="0"/>
          <w:bCs w:val="0"/>
        </w:rPr>
      </w:pPr>
      <w:r w:rsidRPr="005E2FA3">
        <w:rPr>
          <w:b w:val="0"/>
          <w:bCs w:val="0"/>
        </w:rPr>
        <w:t>AOP 207</w:t>
      </w:r>
      <w:r w:rsidR="007E2B44" w:rsidRPr="005E2FA3">
        <w:rPr>
          <w:b w:val="0"/>
          <w:bCs w:val="0"/>
        </w:rPr>
        <w:t xml:space="preserve"> Negativne tečajne razlike i razlike zbog primjene valutne klauzule</w:t>
      </w:r>
    </w:p>
    <w:p w14:paraId="59C0F51A" w14:textId="0DE52302" w:rsidR="007E2B44" w:rsidRDefault="007E2B44" w:rsidP="007E2B44">
      <w:pPr>
        <w:pStyle w:val="Naslov"/>
        <w:keepNext/>
        <w:jc w:val="both"/>
        <w:rPr>
          <w:b w:val="0"/>
          <w:bCs w:val="0"/>
          <w:sz w:val="24"/>
        </w:rPr>
      </w:pPr>
      <w:r w:rsidRPr="005E2FA3">
        <w:rPr>
          <w:b w:val="0"/>
          <w:bCs w:val="0"/>
          <w:sz w:val="24"/>
        </w:rPr>
        <w:t>Rashodi za negativne tečajne razlike i razlike zbog pri</w:t>
      </w:r>
      <w:r w:rsidR="00210B2D" w:rsidRPr="005E2FA3">
        <w:rPr>
          <w:b w:val="0"/>
          <w:bCs w:val="0"/>
          <w:sz w:val="24"/>
        </w:rPr>
        <w:t>mjene valutne klauzule ostvareni</w:t>
      </w:r>
      <w:r w:rsidRPr="005E2FA3">
        <w:rPr>
          <w:b w:val="0"/>
          <w:bCs w:val="0"/>
          <w:sz w:val="24"/>
        </w:rPr>
        <w:t xml:space="preserve"> su u 2021. god</w:t>
      </w:r>
      <w:r w:rsidR="00210B2D" w:rsidRPr="005E2FA3">
        <w:rPr>
          <w:b w:val="0"/>
          <w:bCs w:val="0"/>
          <w:sz w:val="24"/>
        </w:rPr>
        <w:t>ini u iznosu od 451.333.40 kune</w:t>
      </w:r>
      <w:r w:rsidRPr="005E2FA3">
        <w:rPr>
          <w:b w:val="0"/>
          <w:bCs w:val="0"/>
          <w:sz w:val="24"/>
        </w:rPr>
        <w:t>, odnosno za 10,4% manje u odn</w:t>
      </w:r>
      <w:r w:rsidR="00210B2D" w:rsidRPr="005E2FA3">
        <w:rPr>
          <w:b w:val="0"/>
          <w:bCs w:val="0"/>
          <w:sz w:val="24"/>
        </w:rPr>
        <w:t>osu na ostvarenje 2020. godine.</w:t>
      </w:r>
    </w:p>
    <w:p w14:paraId="1A71D309" w14:textId="68028DF9" w:rsidR="007E2B44" w:rsidRDefault="007E2B44" w:rsidP="003F5334">
      <w:pPr>
        <w:shd w:val="clear" w:color="auto" w:fill="FFFFFF"/>
        <w:jc w:val="both"/>
        <w:rPr>
          <w:color w:val="000000"/>
        </w:rPr>
      </w:pPr>
    </w:p>
    <w:p w14:paraId="79DC0DBF" w14:textId="2D77B4BF" w:rsidR="007E2B44" w:rsidRPr="00F4732E" w:rsidRDefault="00F4732E" w:rsidP="007E2B44">
      <w:pPr>
        <w:pStyle w:val="Naslov"/>
        <w:keepNext/>
        <w:rPr>
          <w:b w:val="0"/>
          <w:bCs w:val="0"/>
        </w:rPr>
      </w:pPr>
      <w:r w:rsidRPr="00F4732E">
        <w:rPr>
          <w:b w:val="0"/>
          <w:bCs w:val="0"/>
        </w:rPr>
        <w:t>Bilješka 20</w:t>
      </w:r>
      <w:r w:rsidR="007E2B44" w:rsidRPr="00F4732E">
        <w:rPr>
          <w:b w:val="0"/>
          <w:bCs w:val="0"/>
        </w:rPr>
        <w:t>.</w:t>
      </w:r>
    </w:p>
    <w:p w14:paraId="0A083FB7" w14:textId="57AC6AA5" w:rsidR="007E2B44" w:rsidRPr="00F4732E" w:rsidRDefault="00210B2D" w:rsidP="007E2B44">
      <w:pPr>
        <w:pStyle w:val="Naslov"/>
        <w:keepNext/>
        <w:rPr>
          <w:b w:val="0"/>
          <w:bCs w:val="0"/>
        </w:rPr>
      </w:pPr>
      <w:r w:rsidRPr="00F4732E">
        <w:rPr>
          <w:b w:val="0"/>
          <w:bCs w:val="0"/>
        </w:rPr>
        <w:t>AOP 209</w:t>
      </w:r>
      <w:r w:rsidR="007E2B44" w:rsidRPr="00F4732E">
        <w:rPr>
          <w:b w:val="0"/>
          <w:bCs w:val="0"/>
        </w:rPr>
        <w:t xml:space="preserve"> Ostali nespomenuti financijski rashodi</w:t>
      </w:r>
    </w:p>
    <w:p w14:paraId="79811589" w14:textId="2BE0C38E" w:rsidR="007E2B44" w:rsidRPr="00F4732E" w:rsidRDefault="008553E4" w:rsidP="007E2B44">
      <w:pPr>
        <w:pStyle w:val="Naslov"/>
        <w:keepNext/>
        <w:jc w:val="both"/>
        <w:rPr>
          <w:b w:val="0"/>
          <w:bCs w:val="0"/>
          <w:sz w:val="24"/>
        </w:rPr>
      </w:pPr>
      <w:r w:rsidRPr="00F4732E">
        <w:rPr>
          <w:b w:val="0"/>
          <w:bCs w:val="0"/>
          <w:sz w:val="24"/>
        </w:rPr>
        <w:t>U 2021</w:t>
      </w:r>
      <w:r w:rsidR="007E2B44" w:rsidRPr="00F4732E">
        <w:rPr>
          <w:b w:val="0"/>
          <w:bCs w:val="0"/>
          <w:sz w:val="24"/>
        </w:rPr>
        <w:t>. ostali nespomenuti rashodi ostvareni su u iznosu od</w:t>
      </w:r>
      <w:r w:rsidRPr="00F4732E">
        <w:rPr>
          <w:b w:val="0"/>
          <w:bCs w:val="0"/>
          <w:sz w:val="24"/>
        </w:rPr>
        <w:t xml:space="preserve"> 280.867.068 kuna, što je 9% manje u odnosu na ostvarenje u 2020. godini kada su navedeni rashodi iznosili 308.487.467 kuna. Na navedenom AOP-u evidentiraju se svi troškovi vezani za zaduživanja na domaćem i inozemnom tržištu. Između ostalog, tu su evidentirani troškovi voditelja izdanja obveznica na domaćem i inozemnom tržištu, troškovi uključivanja vrijednosnih papira na Zagrebački burzu, troškovi rejting agencijama, troškovi deponiranja vrijednosnih papira u SKDD i sl. Također, na ovom AOP-u je evidentiran alikvotni dio obveznica izdanih uz diskont.</w:t>
      </w:r>
    </w:p>
    <w:p w14:paraId="450D7A86" w14:textId="03D013A4" w:rsidR="007E2B44" w:rsidRPr="00F4732E" w:rsidRDefault="007E2B44" w:rsidP="003F5334">
      <w:pPr>
        <w:shd w:val="clear" w:color="auto" w:fill="FFFFFF"/>
        <w:jc w:val="both"/>
        <w:rPr>
          <w:color w:val="000000"/>
        </w:rPr>
      </w:pPr>
    </w:p>
    <w:p w14:paraId="6BDB21B6" w14:textId="08579400" w:rsidR="003058E1" w:rsidRPr="00F4732E" w:rsidRDefault="00F4732E" w:rsidP="003058E1">
      <w:pPr>
        <w:pStyle w:val="Naslov"/>
        <w:keepNext/>
        <w:rPr>
          <w:b w:val="0"/>
          <w:bCs w:val="0"/>
        </w:rPr>
      </w:pPr>
      <w:r w:rsidRPr="00F4732E">
        <w:rPr>
          <w:b w:val="0"/>
          <w:bCs w:val="0"/>
        </w:rPr>
        <w:t>Bilješka 21</w:t>
      </w:r>
      <w:r w:rsidR="003058E1" w:rsidRPr="00F4732E">
        <w:rPr>
          <w:b w:val="0"/>
          <w:bCs w:val="0"/>
        </w:rPr>
        <w:t xml:space="preserve">. </w:t>
      </w:r>
    </w:p>
    <w:p w14:paraId="623F7209" w14:textId="103A96A6" w:rsidR="003058E1" w:rsidRPr="00F4732E" w:rsidRDefault="003058E1" w:rsidP="00F4732E">
      <w:pPr>
        <w:pStyle w:val="Naslov"/>
        <w:keepNext/>
        <w:rPr>
          <w:b w:val="0"/>
          <w:bCs w:val="0"/>
        </w:rPr>
      </w:pPr>
      <w:r w:rsidRPr="00F4732E">
        <w:rPr>
          <w:b w:val="0"/>
          <w:bCs w:val="0"/>
        </w:rPr>
        <w:t>AOP 215 Subvencije kreditnim i ostalim financijskim institucijama izvan javnog sektora i AOP 216</w:t>
      </w:r>
      <w:r w:rsidRPr="00F4732E">
        <w:t xml:space="preserve"> </w:t>
      </w:r>
      <w:r w:rsidRPr="00F4732E">
        <w:rPr>
          <w:b w:val="0"/>
          <w:bCs w:val="0"/>
        </w:rPr>
        <w:t>Subvencije trgovačkim društvima i zadrugama izvan javnog sektora</w:t>
      </w:r>
    </w:p>
    <w:p w14:paraId="3706BE87" w14:textId="77777777" w:rsidR="003058E1" w:rsidRPr="00F4732E" w:rsidRDefault="003058E1" w:rsidP="003058E1">
      <w:pPr>
        <w:pStyle w:val="Naslov"/>
        <w:keepNext/>
        <w:jc w:val="both"/>
        <w:rPr>
          <w:b w:val="0"/>
          <w:sz w:val="24"/>
        </w:rPr>
      </w:pPr>
      <w:r w:rsidRPr="00F4732E">
        <w:rPr>
          <w:b w:val="0"/>
          <w:sz w:val="24"/>
        </w:rPr>
        <w:t xml:space="preserve">Tijekom 2020. HBOR je radi ublažavanja negativnih posljedica </w:t>
      </w:r>
      <w:proofErr w:type="spellStart"/>
      <w:r w:rsidRPr="00F4732E">
        <w:rPr>
          <w:b w:val="0"/>
          <w:sz w:val="24"/>
        </w:rPr>
        <w:t>pandemije</w:t>
      </w:r>
      <w:proofErr w:type="spellEnd"/>
      <w:r w:rsidRPr="00F4732E">
        <w:rPr>
          <w:b w:val="0"/>
          <w:sz w:val="24"/>
        </w:rPr>
        <w:t xml:space="preserve"> COVID-19 započeo s provođenjem novih mjera te je, između ostalog, poduzetnicima osigurao nove povoljnije kredite za likvidnost, izravno i u suradnji s bankama, kroz okvirne sporazume s bankama kao i programe Obrtna sredstva za COVID-19, Obrtna sredstva za MSP poduzetnike u turističkim djelatnostima te Obrtna sredstva za poduzetnike u djelatnosti prerade drva i proizvodnje namještaja. Slijedom navedenog u 2020. rashodi za subvencije kreditnim i ostalim financijskim institucijama izvan javnog sektora iznosili su 45 milijuna kuna.</w:t>
      </w:r>
    </w:p>
    <w:p w14:paraId="18C8132B" w14:textId="77777777" w:rsidR="003058E1" w:rsidRPr="00F4732E" w:rsidRDefault="003058E1" w:rsidP="003058E1">
      <w:pPr>
        <w:pStyle w:val="Naslov"/>
        <w:keepNext/>
        <w:jc w:val="both"/>
        <w:rPr>
          <w:b w:val="0"/>
          <w:sz w:val="24"/>
        </w:rPr>
      </w:pPr>
    </w:p>
    <w:p w14:paraId="4E940F18" w14:textId="66621BAF" w:rsidR="003058E1" w:rsidRPr="00F4732E" w:rsidRDefault="003058E1" w:rsidP="003058E1">
      <w:pPr>
        <w:pStyle w:val="Naslov"/>
        <w:keepNext/>
        <w:jc w:val="both"/>
        <w:rPr>
          <w:b w:val="0"/>
          <w:sz w:val="24"/>
        </w:rPr>
      </w:pPr>
      <w:r w:rsidRPr="00F4732E">
        <w:rPr>
          <w:b w:val="0"/>
          <w:sz w:val="24"/>
        </w:rPr>
        <w:t xml:space="preserve">U 2021. nastavljene su mjere ublažavanja negativnih posljedica </w:t>
      </w:r>
      <w:proofErr w:type="spellStart"/>
      <w:r w:rsidRPr="00F4732E">
        <w:rPr>
          <w:b w:val="0"/>
          <w:sz w:val="24"/>
        </w:rPr>
        <w:t>pandemije</w:t>
      </w:r>
      <w:proofErr w:type="spellEnd"/>
      <w:r w:rsidRPr="00F4732E">
        <w:rPr>
          <w:b w:val="0"/>
          <w:sz w:val="24"/>
        </w:rPr>
        <w:t xml:space="preserve"> COVID-19 k</w:t>
      </w:r>
      <w:r w:rsidR="006C6577">
        <w:rPr>
          <w:b w:val="0"/>
          <w:sz w:val="24"/>
        </w:rPr>
        <w:t>ako bi se povećala investicijska</w:t>
      </w:r>
      <w:r w:rsidRPr="00F4732E">
        <w:rPr>
          <w:b w:val="0"/>
          <w:sz w:val="24"/>
        </w:rPr>
        <w:t xml:space="preserve"> aktivnost gospodarskih subjekata. Isto se osigurava plasmanima HBOR-a koji u skladu sa Zakonom o državnim potporama omogućavaju gospodarskim subjektima kreditiranje po nižim kamatnim stopama. Kako bi u skladu sa Zakonom o državnim potporama omogućio što većem broju gospodarskih subjekata kreditiranje po nižim kamatnim stopama, a s ciljem poboljšanja likvidnosti i konkurentnosti, uvođenja novih tehnologija i proizvoda, jačanja hrvatskog izvoza i očuvanja postojećih radnih mjesta te novog zapošljavanja HBOR-u je u 2021. isplaćeno 70 milijuna kuna.</w:t>
      </w:r>
    </w:p>
    <w:p w14:paraId="224D2D04" w14:textId="77777777" w:rsidR="00210B2D" w:rsidRPr="00F4732E" w:rsidRDefault="00210B2D" w:rsidP="003058E1">
      <w:pPr>
        <w:pStyle w:val="Naslov"/>
        <w:keepNext/>
        <w:jc w:val="both"/>
        <w:rPr>
          <w:b w:val="0"/>
          <w:sz w:val="24"/>
        </w:rPr>
      </w:pPr>
    </w:p>
    <w:p w14:paraId="33112DE0" w14:textId="317F02BF" w:rsidR="003058E1" w:rsidRDefault="00210B2D" w:rsidP="003058E1">
      <w:pPr>
        <w:pStyle w:val="Naslov"/>
        <w:keepNext/>
        <w:jc w:val="both"/>
        <w:rPr>
          <w:b w:val="0"/>
          <w:bCs w:val="0"/>
          <w:sz w:val="24"/>
        </w:rPr>
      </w:pPr>
      <w:r w:rsidRPr="00F4732E">
        <w:rPr>
          <w:b w:val="0"/>
          <w:bCs w:val="0"/>
          <w:sz w:val="24"/>
        </w:rPr>
        <w:t xml:space="preserve">Subvencije trgovačkim društvima izvan javnog sektora odnose se na uplatu sredstava iz državnog proračuna u Garantni fond za poslove osiguranja izvoza temeljem Uredbe o osiguranju izvoza („Narodne novine“, broj 53/20). Sredstva iz Garantnog fonda služe za isplatu odšteta, pokriće troškova sprječavanja nastanka štete i troškova regresne naplate, plaćanje obveza proizašlih iz preuzetih obveza po poslovima osiguranja izvoza i za pokriće ostalih troškova </w:t>
      </w:r>
      <w:r w:rsidR="00E21875">
        <w:rPr>
          <w:b w:val="0"/>
          <w:bCs w:val="0"/>
          <w:sz w:val="24"/>
        </w:rPr>
        <w:t>HBOR</w:t>
      </w:r>
      <w:r w:rsidRPr="00F4732E">
        <w:rPr>
          <w:b w:val="0"/>
          <w:bCs w:val="0"/>
          <w:sz w:val="24"/>
        </w:rPr>
        <w:t xml:space="preserve"> u provedbi osiguranja izvoza. Kako bi se osigurala dugoročna održivost provedbe poslova osiguranja izvoza, </w:t>
      </w:r>
      <w:r w:rsidR="006C6577">
        <w:rPr>
          <w:b w:val="0"/>
          <w:bCs w:val="0"/>
          <w:sz w:val="24"/>
        </w:rPr>
        <w:t>HBOR</w:t>
      </w:r>
      <w:r w:rsidRPr="00F4732E">
        <w:rPr>
          <w:b w:val="0"/>
          <w:bCs w:val="0"/>
          <w:sz w:val="24"/>
        </w:rPr>
        <w:t xml:space="preserve"> uvela je mjere i pokazatelje kojima se prati rizičnost i upravlja portfeljem izvoza na način da omjer Garantnog fonda i ukupne neto rizičnosti ne smije biti niži od 8 %. Neto izloženost rizičnosti u 2020. godini bila je znatno veća u odnosu na 2019. godinu, dok je u 2021. godini </w:t>
      </w:r>
      <w:r w:rsidRPr="00F4732E">
        <w:rPr>
          <w:b w:val="0"/>
          <w:bCs w:val="0"/>
          <w:sz w:val="24"/>
        </w:rPr>
        <w:lastRenderedPageBreak/>
        <w:t>umanjena stoga je umanjen i iznos uplate sredstava iz državnog proračuna u Garantni fond s 150.000.000 milijuna kuna u 2020. na 30.000.000 kuna u 2021. godini.</w:t>
      </w:r>
    </w:p>
    <w:p w14:paraId="10946BC8" w14:textId="77777777" w:rsidR="00E21875" w:rsidRPr="00BC0ED4" w:rsidRDefault="00E21875" w:rsidP="003058E1">
      <w:pPr>
        <w:pStyle w:val="Naslov"/>
        <w:keepNext/>
        <w:jc w:val="both"/>
        <w:rPr>
          <w:b w:val="0"/>
          <w:bCs w:val="0"/>
          <w:sz w:val="24"/>
        </w:rPr>
      </w:pPr>
    </w:p>
    <w:p w14:paraId="2113E795" w14:textId="64460E0A" w:rsidR="003058E1" w:rsidRPr="00F4732E" w:rsidRDefault="003058E1" w:rsidP="003058E1">
      <w:pPr>
        <w:pStyle w:val="Naslov"/>
        <w:keepNext/>
        <w:rPr>
          <w:b w:val="0"/>
          <w:bCs w:val="0"/>
          <w:szCs w:val="28"/>
        </w:rPr>
      </w:pPr>
      <w:r w:rsidRPr="00F4732E">
        <w:rPr>
          <w:b w:val="0"/>
          <w:bCs w:val="0"/>
          <w:szCs w:val="28"/>
        </w:rPr>
        <w:t>Bilješka</w:t>
      </w:r>
      <w:r w:rsidR="00F4732E" w:rsidRPr="00F4732E">
        <w:rPr>
          <w:b w:val="0"/>
          <w:bCs w:val="0"/>
          <w:szCs w:val="28"/>
        </w:rPr>
        <w:t xml:space="preserve"> 22.</w:t>
      </w:r>
    </w:p>
    <w:p w14:paraId="608E1CD2" w14:textId="6877D64E" w:rsidR="003058E1" w:rsidRPr="00F4732E" w:rsidRDefault="003058E1" w:rsidP="003058E1">
      <w:pPr>
        <w:shd w:val="clear" w:color="auto" w:fill="FFFFFF"/>
        <w:jc w:val="center"/>
        <w:rPr>
          <w:color w:val="000000"/>
          <w:sz w:val="28"/>
          <w:szCs w:val="28"/>
        </w:rPr>
      </w:pPr>
      <w:r w:rsidRPr="00F4732E">
        <w:rPr>
          <w:color w:val="000000"/>
          <w:sz w:val="28"/>
          <w:szCs w:val="28"/>
        </w:rPr>
        <w:t>AOP 224 Tekuće pomoći međunarodnim organizacijama te institucijama i tijelima EU</w:t>
      </w:r>
    </w:p>
    <w:p w14:paraId="5865562F" w14:textId="2AF57291" w:rsidR="003058E1" w:rsidRPr="00F4732E" w:rsidRDefault="006D395D" w:rsidP="006D395D">
      <w:pPr>
        <w:shd w:val="clear" w:color="auto" w:fill="FFFFFF"/>
        <w:jc w:val="both"/>
      </w:pPr>
      <w:r w:rsidRPr="00F4732E">
        <w:t xml:space="preserve">Tekuće pomoći međunarodnim organizacijama te institucijama i tijelima EU izvršene su u 2021. u iznosu od 4.731.221.538 kuna odnosno za 719 milijuna kuna više u odnosu na ostvareni rashod u 2020. godini, a odnose se na </w:t>
      </w:r>
      <w:r w:rsidR="003058E1" w:rsidRPr="00F4732E">
        <w:t>dodatna izdvajanja za doprinos Republike Hrvatske proračunu Europske unije</w:t>
      </w:r>
      <w:r w:rsidRPr="00F4732E">
        <w:t>.</w:t>
      </w:r>
    </w:p>
    <w:p w14:paraId="2538F2D4" w14:textId="4137C71A" w:rsidR="006D395D" w:rsidRPr="00F4732E" w:rsidRDefault="006D395D" w:rsidP="006D395D">
      <w:pPr>
        <w:shd w:val="clear" w:color="auto" w:fill="FFFFFF"/>
        <w:jc w:val="both"/>
      </w:pPr>
    </w:p>
    <w:p w14:paraId="7394A6A4" w14:textId="1E2B1967" w:rsidR="008A7B51" w:rsidRPr="00F4732E" w:rsidRDefault="00F4732E" w:rsidP="008A7B51">
      <w:pPr>
        <w:pStyle w:val="Naslov"/>
        <w:keepNext/>
        <w:rPr>
          <w:b w:val="0"/>
          <w:bCs w:val="0"/>
        </w:rPr>
      </w:pPr>
      <w:r w:rsidRPr="00F4732E">
        <w:rPr>
          <w:b w:val="0"/>
          <w:bCs w:val="0"/>
        </w:rPr>
        <w:t>Bilješka 23</w:t>
      </w:r>
      <w:r w:rsidR="008A7B51" w:rsidRPr="00F4732E">
        <w:rPr>
          <w:b w:val="0"/>
          <w:bCs w:val="0"/>
        </w:rPr>
        <w:t>.</w:t>
      </w:r>
    </w:p>
    <w:p w14:paraId="726FFC46" w14:textId="038F243B" w:rsidR="008A7B51" w:rsidRPr="00F4732E" w:rsidRDefault="008A7B51" w:rsidP="00F4732E">
      <w:pPr>
        <w:pStyle w:val="Naslov"/>
        <w:keepNext/>
        <w:rPr>
          <w:b w:val="0"/>
          <w:bCs w:val="0"/>
        </w:rPr>
      </w:pPr>
      <w:r w:rsidRPr="00F4732E">
        <w:rPr>
          <w:b w:val="0"/>
          <w:bCs w:val="0"/>
        </w:rPr>
        <w:t>AOP</w:t>
      </w:r>
      <w:r w:rsidR="00090F03" w:rsidRPr="00F4732E">
        <w:rPr>
          <w:b w:val="0"/>
          <w:bCs w:val="0"/>
        </w:rPr>
        <w:t xml:space="preserve"> 227</w:t>
      </w:r>
      <w:r w:rsidRPr="00F4732E">
        <w:rPr>
          <w:b w:val="0"/>
          <w:bCs w:val="0"/>
        </w:rPr>
        <w:t xml:space="preserve"> Tekuće pomoći unutar općeg proračuna i </w:t>
      </w:r>
      <w:r w:rsidR="00090F03" w:rsidRPr="00F4732E">
        <w:rPr>
          <w:b w:val="0"/>
          <w:bCs w:val="0"/>
        </w:rPr>
        <w:t>AOP 228</w:t>
      </w:r>
      <w:r w:rsidRPr="00F4732E">
        <w:rPr>
          <w:b w:val="0"/>
          <w:bCs w:val="0"/>
        </w:rPr>
        <w:t xml:space="preserve"> Kapitalne pomoći unutar općeg proračuna</w:t>
      </w:r>
    </w:p>
    <w:p w14:paraId="45B960DA" w14:textId="038F28DD" w:rsidR="00090F03" w:rsidRPr="00F4732E" w:rsidRDefault="008A7B51" w:rsidP="00090F03">
      <w:pPr>
        <w:jc w:val="both"/>
      </w:pPr>
      <w:r w:rsidRPr="00F4732E">
        <w:t>Tekuće pomo</w:t>
      </w:r>
      <w:r w:rsidR="00090F03" w:rsidRPr="00F4732E">
        <w:t>ći unutar općeg proračuna u 2021</w:t>
      </w:r>
      <w:r w:rsidRPr="00F4732E">
        <w:t xml:space="preserve">. godini ostvarene su u iznosu od </w:t>
      </w:r>
      <w:r w:rsidR="00090F03" w:rsidRPr="00F4732E">
        <w:t>2.055.053.194</w:t>
      </w:r>
      <w:r w:rsidRPr="00F4732E">
        <w:t xml:space="preserve"> </w:t>
      </w:r>
      <w:r w:rsidRPr="00F4732E">
        <w:rPr>
          <w:bCs/>
        </w:rPr>
        <w:t>kuna</w:t>
      </w:r>
      <w:r w:rsidRPr="00F4732E">
        <w:t xml:space="preserve">, u odnosu na ostvarenje od </w:t>
      </w:r>
      <w:r w:rsidR="00090F03" w:rsidRPr="00F4732E">
        <w:t>581.987.077 kuna u 2020</w:t>
      </w:r>
      <w:r w:rsidRPr="00F4732E">
        <w:t xml:space="preserve">. godini. </w:t>
      </w:r>
      <w:r w:rsidR="00090F03" w:rsidRPr="00F4732E">
        <w:t>Temeljem članka 15. Zakona o financiranju jedinica lokalne i područne (regionalne) samouprave (Narodne novine, br. 127/17 i 138/20), jedinicama je utvrđeno pravo na isplatu kompenzacijskih pomoći. Jedinicama lokalne i područne (regionalne) samouprave se tijekom 2018. iz državnog proračuna isplaćivala pomoć u visini razlike između zbroja prihoda od poreza na dohodak i prireza ostvarenih u 2017. i prihoda od pomoći koji su u 2017. ostvareni u skladu s odredbama Zakona o izvršavanju Državnog proračuna Republike Hrvatske za 2017. godinu (Narodne novine, br. 119/16 i 113/17) te prihoda od poreza na dohodak i prireza koji su ostvarili tijekom 2018. godine. Jedinicama lokalne i područne (regionalne) samouprave se tijekom 2019. i 2020. isplaćivao isti iznos kompenzacije kao i u 2018., dok je tijekom 2021. isplaćeno 60% iznosa naprijed navedene pomoći. Za ovu namjenu, iz državnog proračuna Republike Hrvatske jedinicama lokalne i područne (regionalne) samouprave tijekom 2021. isplaćene su kompenzacijske pomoći u iznosu od 40.791.008,28 kuna.</w:t>
      </w:r>
    </w:p>
    <w:p w14:paraId="73C567E1" w14:textId="77777777" w:rsidR="00090F03" w:rsidRPr="00F4732E" w:rsidRDefault="00090F03" w:rsidP="00090F03">
      <w:pPr>
        <w:jc w:val="both"/>
      </w:pPr>
    </w:p>
    <w:p w14:paraId="772F1706" w14:textId="77777777" w:rsidR="00090F03" w:rsidRPr="00F4732E" w:rsidRDefault="00090F03" w:rsidP="00090F03">
      <w:pPr>
        <w:jc w:val="both"/>
      </w:pPr>
      <w:r w:rsidRPr="00F4732E">
        <w:t>Temeljem odredaba istoga Zakona u Državnom proračunu Republike Hrvatske za 2021. godinu i projekcijama za 2022. i 2023. godinu (Narodne novine, br. 135/20, 69/21 i 122/21) osigurana su sredstva fiskalnog izravnanja za one jedinice lokalne i područne (regionalne) samouprave koje na to imaju pravo, a temeljem članka 28. Zakona o izvršavanju Državnog proračuna Republike Hrvatske za 2021. godinu (Narodne novine, br. 135/20, 69/21 i 122/21) jedinicama lokalne i područne (regionalne) samouprave je tijekom 2021. isplaćena pomoć, na ime fiskalnog izravnanja, u iznosu od 2.000.000.000,00 kuna.</w:t>
      </w:r>
    </w:p>
    <w:p w14:paraId="64933DC9" w14:textId="77777777" w:rsidR="00090F03" w:rsidRPr="00F4732E" w:rsidRDefault="00090F03" w:rsidP="00090F03">
      <w:pPr>
        <w:jc w:val="both"/>
      </w:pPr>
    </w:p>
    <w:p w14:paraId="13DDF888" w14:textId="536E7C27" w:rsidR="006D395D" w:rsidRPr="00F4732E" w:rsidRDefault="00090F03" w:rsidP="00090F03">
      <w:pPr>
        <w:jc w:val="both"/>
      </w:pPr>
      <w:r w:rsidRPr="00F4732E">
        <w:t>Slijedom navedenoga, jedinicama lokalne i područne (regionalne) samouprave je u 2021. iz državnog proračuna (T767055 Kompenzacijska mjera jedinicama lokalne i područne (regionalne) samouprave) isplaćena pomoć u ukupnom iznosu od 2.040.791.008,28 kuna.</w:t>
      </w:r>
    </w:p>
    <w:p w14:paraId="509DB6F7" w14:textId="77777777" w:rsidR="00090F03" w:rsidRPr="00F4732E" w:rsidRDefault="00090F03" w:rsidP="00090F03">
      <w:pPr>
        <w:jc w:val="both"/>
        <w:rPr>
          <w:color w:val="000000"/>
        </w:rPr>
      </w:pPr>
    </w:p>
    <w:p w14:paraId="2A004097" w14:textId="4468CBEC" w:rsidR="006D395D" w:rsidRPr="00F4732E" w:rsidRDefault="008A7B51" w:rsidP="006D395D">
      <w:pPr>
        <w:shd w:val="clear" w:color="auto" w:fill="FFFFFF"/>
        <w:jc w:val="both"/>
        <w:rPr>
          <w:color w:val="000000"/>
        </w:rPr>
      </w:pPr>
      <w:r w:rsidRPr="00F4732E">
        <w:rPr>
          <w:color w:val="000000"/>
        </w:rPr>
        <w:t xml:space="preserve">Rashodi za kapitalne pomoći unutar općeg proračuna u 2021. su smanjeni za 82,4%. </w:t>
      </w:r>
      <w:r w:rsidR="006D395D" w:rsidRPr="00F4732E">
        <w:rPr>
          <w:color w:val="000000"/>
        </w:rPr>
        <w:t xml:space="preserve">Za ublažavanje i djelomično uklanjanje posljedica prirodne nepogode koja </w:t>
      </w:r>
      <w:r w:rsidRPr="00F4732E">
        <w:rPr>
          <w:color w:val="000000"/>
        </w:rPr>
        <w:t>je u lipnju 2021. godine</w:t>
      </w:r>
      <w:r w:rsidR="006D395D" w:rsidRPr="00F4732E">
        <w:rPr>
          <w:color w:val="000000"/>
        </w:rPr>
        <w:t xml:space="preserve"> pogodila</w:t>
      </w:r>
      <w:r w:rsidRPr="00F4732E">
        <w:rPr>
          <w:color w:val="000000"/>
        </w:rPr>
        <w:t xml:space="preserve"> Požeško-slavonsku županiju</w:t>
      </w:r>
      <w:r w:rsidR="006D395D" w:rsidRPr="00F4732E">
        <w:rPr>
          <w:color w:val="000000"/>
        </w:rPr>
        <w:t>, Vlada</w:t>
      </w:r>
      <w:r w:rsidRPr="00F4732E">
        <w:rPr>
          <w:color w:val="000000"/>
        </w:rPr>
        <w:t xml:space="preserve"> Republike Hrvatske</w:t>
      </w:r>
      <w:r w:rsidR="006D395D" w:rsidRPr="00F4732E">
        <w:rPr>
          <w:color w:val="000000"/>
        </w:rPr>
        <w:t xml:space="preserve"> je</w:t>
      </w:r>
      <w:r w:rsidRPr="00F4732E">
        <w:rPr>
          <w:color w:val="000000"/>
        </w:rPr>
        <w:t xml:space="preserve"> Rješenjem</w:t>
      </w:r>
      <w:r w:rsidR="006D395D" w:rsidRPr="00F4732E">
        <w:rPr>
          <w:color w:val="000000"/>
        </w:rPr>
        <w:t xml:space="preserve"> Požeško-slavonskoj županiji</w:t>
      </w:r>
      <w:r w:rsidRPr="00F4732E">
        <w:rPr>
          <w:color w:val="000000"/>
        </w:rPr>
        <w:t xml:space="preserve"> </w:t>
      </w:r>
      <w:r w:rsidR="006D395D" w:rsidRPr="00F4732E">
        <w:rPr>
          <w:color w:val="000000"/>
        </w:rPr>
        <w:t>odobrila</w:t>
      </w:r>
      <w:r w:rsidRPr="00F4732E">
        <w:rPr>
          <w:color w:val="000000"/>
        </w:rPr>
        <w:t xml:space="preserve"> isplatu</w:t>
      </w:r>
      <w:r w:rsidR="006D395D" w:rsidRPr="00F4732E">
        <w:rPr>
          <w:color w:val="000000"/>
        </w:rPr>
        <w:t xml:space="preserve"> 20 milijuna kuna</w:t>
      </w:r>
      <w:r w:rsidRPr="00F4732E">
        <w:rPr>
          <w:color w:val="000000"/>
        </w:rPr>
        <w:t xml:space="preserve"> na teret proračunske zalihe.</w:t>
      </w:r>
    </w:p>
    <w:p w14:paraId="0363EF16" w14:textId="77777777" w:rsidR="00210B2D" w:rsidRPr="00F4732E" w:rsidRDefault="00210B2D" w:rsidP="006D395D">
      <w:pPr>
        <w:shd w:val="clear" w:color="auto" w:fill="FFFFFF"/>
        <w:jc w:val="both"/>
        <w:rPr>
          <w:color w:val="000000"/>
        </w:rPr>
      </w:pPr>
    </w:p>
    <w:p w14:paraId="763D9DAC" w14:textId="23292ECD" w:rsidR="008A7B51" w:rsidRDefault="008A7B51" w:rsidP="006D395D">
      <w:pPr>
        <w:shd w:val="clear" w:color="auto" w:fill="FFFFFF"/>
        <w:jc w:val="both"/>
        <w:rPr>
          <w:color w:val="000000"/>
        </w:rPr>
      </w:pPr>
      <w:r w:rsidRPr="00F4732E">
        <w:rPr>
          <w:color w:val="000000"/>
        </w:rPr>
        <w:t>U 2020. Kapitalne pomoći unutar općeg proračuna ostvarene su u izno</w:t>
      </w:r>
      <w:r w:rsidR="00210B2D" w:rsidRPr="00F4732E">
        <w:rPr>
          <w:color w:val="000000"/>
        </w:rPr>
        <w:t>su od 113.700.000 kuna, a odnosile su</w:t>
      </w:r>
      <w:r w:rsidRPr="00F4732E">
        <w:rPr>
          <w:color w:val="000000"/>
        </w:rPr>
        <w:t xml:space="preserve"> se na pomoć Sisačko-moslavačkoj županiji i Zagrebačkoj županiji za ublažavanje i djelomično uklanjanje posljedica šteta od potresa te Splitsko-dalmatinskoj županiji za ublažavanje i djelomično uklanjanje posljedica prirodne nepogode uzrokovane poplavom pravnim i fizičkim </w:t>
      </w:r>
      <w:r w:rsidRPr="00F4732E">
        <w:rPr>
          <w:color w:val="000000"/>
        </w:rPr>
        <w:lastRenderedPageBreak/>
        <w:t>osobama na području Grada Vrgorca, temeljem rješenja Vlade Republike Hrvatske na teret proračunske zalihe.</w:t>
      </w:r>
    </w:p>
    <w:p w14:paraId="5C204FD7" w14:textId="5A6A0B3E" w:rsidR="00CE0FD8" w:rsidRDefault="00CE0FD8" w:rsidP="006D395D">
      <w:pPr>
        <w:shd w:val="clear" w:color="auto" w:fill="FFFFFF"/>
        <w:jc w:val="both"/>
        <w:rPr>
          <w:color w:val="000000"/>
        </w:rPr>
      </w:pPr>
    </w:p>
    <w:p w14:paraId="200C2CF4" w14:textId="2B9B7720" w:rsidR="00CE0FD8" w:rsidRPr="00F4732E" w:rsidRDefault="00CE0FD8" w:rsidP="00CE0FD8">
      <w:pPr>
        <w:pStyle w:val="Naslov"/>
        <w:keepNext/>
        <w:rPr>
          <w:b w:val="0"/>
          <w:bCs w:val="0"/>
          <w:szCs w:val="28"/>
        </w:rPr>
      </w:pPr>
      <w:r w:rsidRPr="00F4732E">
        <w:rPr>
          <w:b w:val="0"/>
          <w:bCs w:val="0"/>
          <w:szCs w:val="28"/>
        </w:rPr>
        <w:t>Bilješka</w:t>
      </w:r>
      <w:r w:rsidR="00F4732E" w:rsidRPr="00F4732E">
        <w:rPr>
          <w:b w:val="0"/>
          <w:bCs w:val="0"/>
          <w:szCs w:val="28"/>
        </w:rPr>
        <w:t xml:space="preserve"> 24.</w:t>
      </w:r>
    </w:p>
    <w:p w14:paraId="313E1ECB" w14:textId="00B6DB86" w:rsidR="00CE0FD8" w:rsidRPr="00F4732E" w:rsidRDefault="00CE0FD8" w:rsidP="00F4732E">
      <w:pPr>
        <w:shd w:val="clear" w:color="auto" w:fill="FFFFFF"/>
        <w:jc w:val="center"/>
        <w:rPr>
          <w:color w:val="000000"/>
          <w:sz w:val="28"/>
          <w:szCs w:val="28"/>
        </w:rPr>
      </w:pPr>
      <w:r w:rsidRPr="00F4732E">
        <w:rPr>
          <w:color w:val="000000"/>
          <w:sz w:val="28"/>
          <w:szCs w:val="28"/>
        </w:rPr>
        <w:t>AOP 22</w:t>
      </w:r>
      <w:r w:rsidR="00210B2D" w:rsidRPr="00F4732E">
        <w:rPr>
          <w:color w:val="000000"/>
          <w:sz w:val="28"/>
          <w:szCs w:val="28"/>
        </w:rPr>
        <w:t>9</w:t>
      </w:r>
      <w:r w:rsidRPr="00F4732E">
        <w:rPr>
          <w:color w:val="000000"/>
          <w:sz w:val="28"/>
          <w:szCs w:val="28"/>
        </w:rPr>
        <w:t xml:space="preserve"> Pomoći unutar općeg proračuna po protestiranim jamstvima</w:t>
      </w:r>
    </w:p>
    <w:p w14:paraId="28C0E108" w14:textId="2AB27B7B" w:rsidR="00DC334C" w:rsidRPr="00F4732E" w:rsidRDefault="00CE0FD8" w:rsidP="00CE0FD8">
      <w:pPr>
        <w:shd w:val="clear" w:color="auto" w:fill="FFFFFF"/>
        <w:jc w:val="both"/>
        <w:rPr>
          <w:color w:val="000000"/>
        </w:rPr>
      </w:pPr>
      <w:r w:rsidRPr="00F4732E">
        <w:rPr>
          <w:color w:val="000000"/>
        </w:rPr>
        <w:t>Ostvareni rashodi u 2021. godini za pomoći unutar općeg proračuna po protestiranim jamstvima odnose se na pomoći ostalim izvanproračunskim korisnicima državnog proračuna po protestiranim jamstv</w:t>
      </w:r>
      <w:r w:rsidR="00F44758">
        <w:rPr>
          <w:color w:val="000000"/>
        </w:rPr>
        <w:t>ima u iznosu od 89.448.452,12 kuna</w:t>
      </w:r>
      <w:r w:rsidR="006C6577">
        <w:rPr>
          <w:color w:val="000000"/>
        </w:rPr>
        <w:t xml:space="preserve"> i</w:t>
      </w:r>
      <w:r w:rsidRPr="00F4732E">
        <w:rPr>
          <w:color w:val="000000"/>
        </w:rPr>
        <w:t xml:space="preserve"> na plaćanja po jamstvima danim na zahtjev dr</w:t>
      </w:r>
      <w:r w:rsidR="006C6577">
        <w:rPr>
          <w:color w:val="000000"/>
        </w:rPr>
        <w:t xml:space="preserve">uštva HŽ Infrastruktura d.o.o. </w:t>
      </w:r>
      <w:r w:rsidRPr="00F4732E">
        <w:rPr>
          <w:color w:val="000000"/>
        </w:rPr>
        <w:t>S obzirom na ranije navedenu promjenu metodologiju evidentiranja protestiranih jamstava od 2021. godine, u 2020. godini na navedenom AOP-u nema izvršenih rashoda.</w:t>
      </w:r>
    </w:p>
    <w:p w14:paraId="168C8357" w14:textId="7D1ED3E6" w:rsidR="00CE0FD8" w:rsidRPr="00F4732E" w:rsidRDefault="00CE0FD8" w:rsidP="00CE0FD8">
      <w:pPr>
        <w:shd w:val="clear" w:color="auto" w:fill="FFFFFF"/>
        <w:jc w:val="both"/>
        <w:rPr>
          <w:color w:val="000000"/>
        </w:rPr>
      </w:pPr>
    </w:p>
    <w:p w14:paraId="3DBF77A5" w14:textId="7965B5C8" w:rsidR="00CE0FD8" w:rsidRPr="00F4732E" w:rsidRDefault="00F4732E" w:rsidP="00CE0FD8">
      <w:pPr>
        <w:pStyle w:val="Naslov"/>
        <w:keepNext/>
        <w:rPr>
          <w:b w:val="0"/>
          <w:bCs w:val="0"/>
        </w:rPr>
      </w:pPr>
      <w:r w:rsidRPr="00F4732E">
        <w:rPr>
          <w:b w:val="0"/>
          <w:bCs w:val="0"/>
        </w:rPr>
        <w:t>Bilješka 25</w:t>
      </w:r>
      <w:r w:rsidR="00CE0FD8" w:rsidRPr="00F4732E">
        <w:rPr>
          <w:b w:val="0"/>
          <w:bCs w:val="0"/>
        </w:rPr>
        <w:t>.</w:t>
      </w:r>
    </w:p>
    <w:p w14:paraId="755DBEE5" w14:textId="0F1BA66A" w:rsidR="00CE0FD8" w:rsidRPr="00F4732E" w:rsidRDefault="00CE0FD8" w:rsidP="00CE0FD8">
      <w:pPr>
        <w:pStyle w:val="Naslov"/>
        <w:keepNext/>
        <w:rPr>
          <w:b w:val="0"/>
          <w:bCs w:val="0"/>
        </w:rPr>
      </w:pPr>
      <w:r w:rsidRPr="00F4732E">
        <w:rPr>
          <w:b w:val="0"/>
          <w:bCs w:val="0"/>
        </w:rPr>
        <w:t>AOP 244</w:t>
      </w:r>
      <w:r w:rsidRPr="00F4732E">
        <w:t xml:space="preserve"> </w:t>
      </w:r>
      <w:r w:rsidRPr="00F4732E">
        <w:rPr>
          <w:b w:val="0"/>
          <w:bCs w:val="0"/>
        </w:rPr>
        <w:t>Kapitalni prijenosi između proračunskih korisnika istog proračuna</w:t>
      </w:r>
    </w:p>
    <w:p w14:paraId="22B4164B" w14:textId="16EC3E79" w:rsidR="00CE0FD8" w:rsidRPr="00F4732E" w:rsidRDefault="00CE0FD8" w:rsidP="00A81556">
      <w:pPr>
        <w:jc w:val="both"/>
      </w:pPr>
      <w:r w:rsidRPr="00F4732E">
        <w:t xml:space="preserve">U 2021. godini </w:t>
      </w:r>
      <w:r w:rsidR="00A81556" w:rsidRPr="00F4732E">
        <w:t>nije bilo</w:t>
      </w:r>
      <w:r w:rsidRPr="00F4732E">
        <w:t xml:space="preserve"> realizirani</w:t>
      </w:r>
      <w:r w:rsidR="00A81556" w:rsidRPr="00F4732E">
        <w:t>h rashoda na navedenom AOP-u,</w:t>
      </w:r>
      <w:r w:rsidRPr="00F4732E">
        <w:t xml:space="preserve"> što predstavlja stopostotno smanjenje rashoda u </w:t>
      </w:r>
      <w:r w:rsidR="00BF5B84" w:rsidRPr="00F4732E">
        <w:t>promatranom</w:t>
      </w:r>
      <w:r w:rsidRPr="00F4732E">
        <w:t xml:space="preserve"> razdoblju </w:t>
      </w:r>
      <w:r w:rsidR="00BF5B84" w:rsidRPr="00F4732E">
        <w:t>s obzirom na to da</w:t>
      </w:r>
      <w:r w:rsidRPr="00F4732E">
        <w:t xml:space="preserve"> su u 2020. rashodi za kapitalne prijenose između proračunskih korisnika istog proračuna izvršeni u iznosu od 2.166.250 </w:t>
      </w:r>
      <w:r w:rsidRPr="00F4732E">
        <w:rPr>
          <w:bCs/>
        </w:rPr>
        <w:t>kuna, a</w:t>
      </w:r>
      <w:r w:rsidRPr="00F4732E">
        <w:t xml:space="preserve"> odnosili su se na nabavu uređaja za umjetnu ventilaciju, kako bi se osigurali nužni preduvjeti za liječenje COVID-19 virusa za Kliniku za infektivne bolesti "Dr. </w:t>
      </w:r>
      <w:proofErr w:type="spellStart"/>
      <w:r w:rsidRPr="00F4732E">
        <w:t>Fran</w:t>
      </w:r>
      <w:proofErr w:type="spellEnd"/>
      <w:r w:rsidRPr="00F4732E">
        <w:t xml:space="preserve"> Mihaljević".</w:t>
      </w:r>
    </w:p>
    <w:p w14:paraId="3DF270F8" w14:textId="10AE0FFE" w:rsidR="00BF5B84" w:rsidRPr="00F4732E" w:rsidRDefault="00BF5B84" w:rsidP="00CE0FD8">
      <w:pPr>
        <w:shd w:val="clear" w:color="auto" w:fill="FFFFFF"/>
        <w:jc w:val="both"/>
        <w:rPr>
          <w:color w:val="000000"/>
        </w:rPr>
      </w:pPr>
    </w:p>
    <w:p w14:paraId="08DDDA88" w14:textId="04AD3B2B" w:rsidR="00E330A8" w:rsidRPr="00F4732E" w:rsidRDefault="00E330A8" w:rsidP="00E330A8">
      <w:pPr>
        <w:pStyle w:val="Naslov"/>
        <w:keepNext/>
        <w:rPr>
          <w:b w:val="0"/>
          <w:bCs w:val="0"/>
        </w:rPr>
      </w:pPr>
      <w:r w:rsidRPr="00F4732E">
        <w:rPr>
          <w:b w:val="0"/>
          <w:bCs w:val="0"/>
        </w:rPr>
        <w:t>Bilješka</w:t>
      </w:r>
      <w:r w:rsidR="00F4732E" w:rsidRPr="00F4732E">
        <w:rPr>
          <w:b w:val="0"/>
          <w:bCs w:val="0"/>
        </w:rPr>
        <w:t xml:space="preserve"> 26.</w:t>
      </w:r>
    </w:p>
    <w:p w14:paraId="0302F484" w14:textId="7DF1D936" w:rsidR="00E330A8" w:rsidRPr="00F4732E" w:rsidRDefault="00E330A8" w:rsidP="00F4732E">
      <w:pPr>
        <w:pStyle w:val="Naslov"/>
        <w:keepNext/>
        <w:rPr>
          <w:b w:val="0"/>
          <w:bCs w:val="0"/>
        </w:rPr>
      </w:pPr>
      <w:r w:rsidRPr="00F4732E">
        <w:rPr>
          <w:b w:val="0"/>
          <w:bCs w:val="0"/>
        </w:rPr>
        <w:t>AOP 272 Ugovorene kazne i ostale naknade šteta</w:t>
      </w:r>
    </w:p>
    <w:p w14:paraId="00A8375A" w14:textId="373A4607" w:rsidR="00BF5B84" w:rsidRPr="00F4732E" w:rsidRDefault="00E330A8" w:rsidP="00CE0FD8">
      <w:pPr>
        <w:shd w:val="clear" w:color="auto" w:fill="FFFFFF"/>
        <w:jc w:val="both"/>
        <w:rPr>
          <w:color w:val="000000"/>
        </w:rPr>
      </w:pPr>
      <w:r w:rsidRPr="00F4732E">
        <w:rPr>
          <w:color w:val="000000"/>
        </w:rPr>
        <w:t xml:space="preserve">U 2021. godini rashodi za ugovorene kazne i ostale naknade šteta ostvareni su u iznosu od 341.878.294 kuna, odnosno za 493,5% više u odnosu na ostvarenje navedenih rashoda u 2020. </w:t>
      </w:r>
      <w:r w:rsidR="00BF5B84" w:rsidRPr="00F4732E">
        <w:rPr>
          <w:color w:val="000000"/>
        </w:rPr>
        <w:t>Temeljem članka 10. Ugovora između Vlade Republike Hrvatske i Vlade Sjedinjenih Američkih Država o poticanju i zaštiti ulaganja (Narodne novine – Međunarodni ugovori, broj 6/1997), sklopljenog 13. srpnja 1996., i koji je snazi od 20. lipnja 2001., američki ulagači Colgate/</w:t>
      </w:r>
      <w:proofErr w:type="spellStart"/>
      <w:r w:rsidR="00BF5B84" w:rsidRPr="00F4732E">
        <w:rPr>
          <w:color w:val="000000"/>
        </w:rPr>
        <w:t>McCallum</w:t>
      </w:r>
      <w:proofErr w:type="spellEnd"/>
      <w:r w:rsidR="00BF5B84" w:rsidRPr="00F4732E">
        <w:rPr>
          <w:color w:val="000000"/>
        </w:rPr>
        <w:t xml:space="preserve">, </w:t>
      </w:r>
      <w:proofErr w:type="spellStart"/>
      <w:r w:rsidR="00BF5B84" w:rsidRPr="00F4732E">
        <w:rPr>
          <w:color w:val="000000"/>
        </w:rPr>
        <w:t>Ltd</w:t>
      </w:r>
      <w:proofErr w:type="spellEnd"/>
      <w:r w:rsidR="00BF5B84" w:rsidRPr="00F4732E">
        <w:rPr>
          <w:color w:val="000000"/>
        </w:rPr>
        <w:t xml:space="preserve">. i </w:t>
      </w:r>
      <w:proofErr w:type="spellStart"/>
      <w:r w:rsidR="00BF5B84" w:rsidRPr="00F4732E">
        <w:rPr>
          <w:color w:val="000000"/>
        </w:rPr>
        <w:t>Gavin</w:t>
      </w:r>
      <w:proofErr w:type="spellEnd"/>
      <w:r w:rsidR="00BF5B84" w:rsidRPr="00F4732E">
        <w:rPr>
          <w:color w:val="000000"/>
        </w:rPr>
        <w:t xml:space="preserve"> Michael </w:t>
      </w:r>
      <w:proofErr w:type="spellStart"/>
      <w:r w:rsidR="00BF5B84" w:rsidRPr="00F4732E">
        <w:rPr>
          <w:color w:val="000000"/>
        </w:rPr>
        <w:t>Susman</w:t>
      </w:r>
      <w:proofErr w:type="spellEnd"/>
      <w:r w:rsidR="00BF5B84" w:rsidRPr="00F4732E">
        <w:rPr>
          <w:color w:val="000000"/>
        </w:rPr>
        <w:t xml:space="preserve"> podnijeli su 13. kolovoza 2020. zahtjev za mirnim rješenjem spora Republici Hrvatskoj, koji je vezan uz njihovo ulaganje u </w:t>
      </w:r>
      <w:proofErr w:type="spellStart"/>
      <w:r w:rsidR="00BF5B84" w:rsidRPr="00F4732E">
        <w:rPr>
          <w:color w:val="000000"/>
        </w:rPr>
        <w:t>Proficio</w:t>
      </w:r>
      <w:proofErr w:type="spellEnd"/>
      <w:r w:rsidR="00BF5B84" w:rsidRPr="00F4732E">
        <w:rPr>
          <w:color w:val="000000"/>
        </w:rPr>
        <w:t xml:space="preserve"> d.d., kao pravnog </w:t>
      </w:r>
      <w:proofErr w:type="spellStart"/>
      <w:r w:rsidR="00BF5B84" w:rsidRPr="00F4732E">
        <w:rPr>
          <w:color w:val="000000"/>
        </w:rPr>
        <w:t>sljednika</w:t>
      </w:r>
      <w:proofErr w:type="spellEnd"/>
      <w:r w:rsidR="00BF5B84" w:rsidRPr="00F4732E">
        <w:rPr>
          <w:color w:val="000000"/>
        </w:rPr>
        <w:t xml:space="preserve"> društava </w:t>
      </w:r>
      <w:proofErr w:type="spellStart"/>
      <w:r w:rsidR="00BF5B84" w:rsidRPr="00F4732E">
        <w:rPr>
          <w:color w:val="000000"/>
        </w:rPr>
        <w:t>Expandia</w:t>
      </w:r>
      <w:proofErr w:type="spellEnd"/>
      <w:r w:rsidR="00BF5B84" w:rsidRPr="00F4732E">
        <w:rPr>
          <w:color w:val="000000"/>
        </w:rPr>
        <w:t xml:space="preserve"> </w:t>
      </w:r>
      <w:proofErr w:type="spellStart"/>
      <w:r w:rsidR="00BF5B84" w:rsidRPr="00F4732E">
        <w:rPr>
          <w:color w:val="000000"/>
        </w:rPr>
        <w:t>Invest</w:t>
      </w:r>
      <w:proofErr w:type="spellEnd"/>
      <w:r w:rsidR="00BF5B84" w:rsidRPr="00F4732E">
        <w:rPr>
          <w:color w:val="000000"/>
        </w:rPr>
        <w:t xml:space="preserve"> d.o.o. za upravljanje fondovima i EXPANDIA FOND privatizacijski investicijski fond </w:t>
      </w:r>
      <w:proofErr w:type="spellStart"/>
      <w:r w:rsidR="00BF5B84" w:rsidRPr="00F4732E">
        <w:rPr>
          <w:color w:val="000000"/>
        </w:rPr>
        <w:t>d.d</w:t>
      </w:r>
      <w:proofErr w:type="spellEnd"/>
      <w:r w:rsidR="00BF5B84" w:rsidRPr="00F4732E">
        <w:rPr>
          <w:color w:val="000000"/>
        </w:rPr>
        <w:t>, koja su sudjelovala u programu kuponske privatizacije u razdoblju od 1997. do 1999.</w:t>
      </w:r>
    </w:p>
    <w:p w14:paraId="519D4924" w14:textId="77777777" w:rsidR="00A81556" w:rsidRPr="00F4732E" w:rsidRDefault="00A81556" w:rsidP="00CE0FD8">
      <w:pPr>
        <w:shd w:val="clear" w:color="auto" w:fill="FFFFFF"/>
        <w:jc w:val="both"/>
        <w:rPr>
          <w:color w:val="000000"/>
        </w:rPr>
      </w:pPr>
    </w:p>
    <w:p w14:paraId="7F19C7E0" w14:textId="3540C24F" w:rsidR="00BF5B84" w:rsidRDefault="00BF5B84" w:rsidP="00E330A8">
      <w:pPr>
        <w:shd w:val="clear" w:color="auto" w:fill="FFFFFF"/>
        <w:jc w:val="both"/>
        <w:rPr>
          <w:color w:val="000000"/>
        </w:rPr>
      </w:pPr>
      <w:r w:rsidRPr="00F4732E">
        <w:rPr>
          <w:color w:val="000000"/>
        </w:rPr>
        <w:t>Temeljem Sporazuma o prijateljskom rješenju spora između Republike Hrvatske, s jedne strane, i Colgate/</w:t>
      </w:r>
      <w:proofErr w:type="spellStart"/>
      <w:r w:rsidRPr="00F4732E">
        <w:rPr>
          <w:color w:val="000000"/>
        </w:rPr>
        <w:t>McCallum</w:t>
      </w:r>
      <w:proofErr w:type="spellEnd"/>
      <w:r w:rsidR="00E330A8" w:rsidRPr="00F4732E">
        <w:rPr>
          <w:color w:val="000000"/>
        </w:rPr>
        <w:t xml:space="preserve">, </w:t>
      </w:r>
      <w:proofErr w:type="spellStart"/>
      <w:r w:rsidR="00E330A8" w:rsidRPr="00F4732E">
        <w:rPr>
          <w:color w:val="000000"/>
        </w:rPr>
        <w:t>Ltd</w:t>
      </w:r>
      <w:proofErr w:type="spellEnd"/>
      <w:r w:rsidR="00E330A8" w:rsidRPr="00F4732E">
        <w:rPr>
          <w:color w:val="000000"/>
        </w:rPr>
        <w:t xml:space="preserve">. i </w:t>
      </w:r>
      <w:proofErr w:type="spellStart"/>
      <w:r w:rsidR="00E330A8" w:rsidRPr="00F4732E">
        <w:rPr>
          <w:color w:val="000000"/>
        </w:rPr>
        <w:t>Gavina</w:t>
      </w:r>
      <w:proofErr w:type="spellEnd"/>
      <w:r w:rsidR="00E330A8" w:rsidRPr="00F4732E">
        <w:rPr>
          <w:color w:val="000000"/>
        </w:rPr>
        <w:t xml:space="preserve"> Michaela </w:t>
      </w:r>
      <w:proofErr w:type="spellStart"/>
      <w:r w:rsidR="00E330A8" w:rsidRPr="00F4732E">
        <w:rPr>
          <w:color w:val="000000"/>
        </w:rPr>
        <w:t>Susmana</w:t>
      </w:r>
      <w:proofErr w:type="spellEnd"/>
      <w:r w:rsidR="00E330A8" w:rsidRPr="00F4732E">
        <w:rPr>
          <w:color w:val="000000"/>
        </w:rPr>
        <w:t>, s druge strane,</w:t>
      </w:r>
      <w:r w:rsidR="00E330A8" w:rsidRPr="00F4732E">
        <w:t xml:space="preserve"> </w:t>
      </w:r>
      <w:r w:rsidR="00E330A8" w:rsidRPr="00F4732E">
        <w:rPr>
          <w:color w:val="000000"/>
        </w:rPr>
        <w:t>Ministarstvo financija izvršilo je u 2021. isplatu iznosa od 297.000.000 kuna, sukladno odredbama Sporazuma.</w:t>
      </w:r>
    </w:p>
    <w:p w14:paraId="106B2B11" w14:textId="0A978214" w:rsidR="00E330A8" w:rsidRDefault="00E330A8" w:rsidP="00E330A8">
      <w:pPr>
        <w:shd w:val="clear" w:color="auto" w:fill="FFFFFF"/>
        <w:jc w:val="both"/>
        <w:rPr>
          <w:color w:val="000000"/>
        </w:rPr>
      </w:pPr>
    </w:p>
    <w:p w14:paraId="5FA4AEA1" w14:textId="749D92BD" w:rsidR="00E330A8" w:rsidRPr="00F4732E" w:rsidRDefault="00F4732E" w:rsidP="00E330A8">
      <w:pPr>
        <w:pStyle w:val="Naslov"/>
        <w:keepNext/>
        <w:rPr>
          <w:b w:val="0"/>
          <w:bCs w:val="0"/>
        </w:rPr>
      </w:pPr>
      <w:r w:rsidRPr="00F4732E">
        <w:rPr>
          <w:b w:val="0"/>
          <w:bCs w:val="0"/>
        </w:rPr>
        <w:t>Bilješka 27</w:t>
      </w:r>
      <w:r w:rsidR="00E330A8" w:rsidRPr="00F4732E">
        <w:rPr>
          <w:b w:val="0"/>
          <w:bCs w:val="0"/>
        </w:rPr>
        <w:t>.</w:t>
      </w:r>
    </w:p>
    <w:p w14:paraId="75CDFC82" w14:textId="4EBB95BD" w:rsidR="00E330A8" w:rsidRPr="00F4732E" w:rsidRDefault="00E330A8" w:rsidP="00F4732E">
      <w:pPr>
        <w:pStyle w:val="Naslov"/>
        <w:keepNext/>
        <w:rPr>
          <w:b w:val="0"/>
          <w:bCs w:val="0"/>
        </w:rPr>
      </w:pPr>
      <w:r w:rsidRPr="00F4732E">
        <w:rPr>
          <w:b w:val="0"/>
          <w:bCs w:val="0"/>
        </w:rPr>
        <w:t>AOP 276 Kapitalne pomoći kreditnim i ostalim financijskim institucijama te trgovačkim društvima izvan javnog sektora i AOP 277 Kapitalne pomoći poljoprivrednicima i obrtnicima</w:t>
      </w:r>
    </w:p>
    <w:p w14:paraId="7A5D076D" w14:textId="11C77B44" w:rsidR="00E330A8" w:rsidRPr="00F4732E" w:rsidRDefault="00E330A8" w:rsidP="00E330A8">
      <w:pPr>
        <w:jc w:val="both"/>
      </w:pPr>
      <w:r w:rsidRPr="00F4732E">
        <w:t xml:space="preserve">U 2021. godini na ovim AOP-ima nema evidentiranih rashoda, slijedom čega je došlo do stopostotnog smanjenja rashoda u odnosu na iskazano u prethodnom izvještajnom razdoblju. U 2020. ostvareni su rashodi za kapitalne pomoći kreditnim i ostalim financijskim institucijama te trgovačkim društvima izvan javnog sektora u iznosu od 33.489.923 </w:t>
      </w:r>
      <w:r w:rsidRPr="00F4732E">
        <w:rPr>
          <w:bCs/>
        </w:rPr>
        <w:t>kune</w:t>
      </w:r>
      <w:r w:rsidRPr="00F4732E">
        <w:t xml:space="preserve"> te kapitalne pomoći poljoprivrednicima i obrtnicima u iznosu od 1.056.834 </w:t>
      </w:r>
      <w:r w:rsidRPr="00F4732E">
        <w:rPr>
          <w:bCs/>
        </w:rPr>
        <w:t>kune</w:t>
      </w:r>
      <w:r w:rsidRPr="00F4732E">
        <w:t xml:space="preserve">. S aktivnosti A767064 Postupanja po kreditima </w:t>
      </w:r>
      <w:r w:rsidR="00F06F09">
        <w:t>odobrenim od strane bivšeg Fonda za razvoj i zapošljavanje</w:t>
      </w:r>
      <w:r w:rsidRPr="00F4732E">
        <w:t xml:space="preserve"> u 2020. izvršeni su povrati za pojedine korisnike kredita bivšeg Fonda za razvoj i zapošljavanje na ime otpisa odobrenih temeljem Odluke Vlada Republike Hrvatske o otpisu potraživanja po kreditima odobrenim po </w:t>
      </w:r>
      <w:r w:rsidRPr="00F4732E">
        <w:lastRenderedPageBreak/>
        <w:t>Kreditnom programu zapošljavanja razvojačenih pripadnika Hrvatske vojske i kreditima odobrenim od strane bivšeg Fonda za razvoj i zapošljavanje (</w:t>
      </w:r>
      <w:r w:rsidR="00810733" w:rsidRPr="00F4732E">
        <w:t>KLASA</w:t>
      </w:r>
      <w:r w:rsidRPr="00F4732E">
        <w:t xml:space="preserve">: 022-03/19-04/56, </w:t>
      </w:r>
      <w:r w:rsidR="00810733" w:rsidRPr="00F4732E">
        <w:t>URBROJ</w:t>
      </w:r>
      <w:r w:rsidRPr="00F4732E">
        <w:t>: 50301-29/09-19-3) od 15. ožujka 2019. godine.</w:t>
      </w:r>
    </w:p>
    <w:p w14:paraId="23B48ECA" w14:textId="55FCED7C" w:rsidR="00E330A8" w:rsidRPr="00F4732E" w:rsidRDefault="00E330A8" w:rsidP="00E330A8">
      <w:pPr>
        <w:jc w:val="both"/>
      </w:pPr>
    </w:p>
    <w:p w14:paraId="632F8C61" w14:textId="2119BD33" w:rsidR="00E330A8" w:rsidRPr="00F4732E" w:rsidRDefault="00E330A8" w:rsidP="00E330A8">
      <w:pPr>
        <w:jc w:val="center"/>
        <w:rPr>
          <w:sz w:val="28"/>
          <w:szCs w:val="28"/>
        </w:rPr>
      </w:pPr>
      <w:r w:rsidRPr="00F4732E">
        <w:rPr>
          <w:sz w:val="28"/>
          <w:szCs w:val="28"/>
        </w:rPr>
        <w:t>Bilješka</w:t>
      </w:r>
      <w:r w:rsidR="00F4732E" w:rsidRPr="00F4732E">
        <w:rPr>
          <w:sz w:val="28"/>
          <w:szCs w:val="28"/>
        </w:rPr>
        <w:t xml:space="preserve"> 28.</w:t>
      </w:r>
    </w:p>
    <w:p w14:paraId="3F18682A" w14:textId="116FD4A1" w:rsidR="00E330A8" w:rsidRPr="00F4732E" w:rsidRDefault="00E330A8" w:rsidP="00F4732E">
      <w:pPr>
        <w:jc w:val="center"/>
        <w:rPr>
          <w:sz w:val="28"/>
          <w:szCs w:val="28"/>
        </w:rPr>
      </w:pPr>
      <w:r w:rsidRPr="00F4732E">
        <w:rPr>
          <w:sz w:val="28"/>
          <w:szCs w:val="28"/>
        </w:rPr>
        <w:t>AOP 279 Kapitalne pomoći trgovačkim društvima i obrtnicima po protestiranim jamstvima</w:t>
      </w:r>
    </w:p>
    <w:p w14:paraId="7165E878" w14:textId="03404A80" w:rsidR="00E330A8" w:rsidRPr="00F4732E" w:rsidRDefault="00E330A8" w:rsidP="00E330A8">
      <w:pPr>
        <w:shd w:val="clear" w:color="auto" w:fill="FFFFFF"/>
        <w:jc w:val="both"/>
        <w:rPr>
          <w:color w:val="000000"/>
        </w:rPr>
      </w:pPr>
      <w:r w:rsidRPr="00F4732E">
        <w:rPr>
          <w:color w:val="000000"/>
        </w:rPr>
        <w:t>Rashodi za kapitalne pomoći trgovačkim društvima i obrtnicima po protestiranim jamstvima u 2021. godini ostvareni su u visini 36.614.362 kuna.</w:t>
      </w:r>
      <w:r w:rsidR="00924507" w:rsidRPr="00F4732E">
        <w:t xml:space="preserve"> </w:t>
      </w:r>
      <w:r w:rsidR="00924507" w:rsidRPr="00F4732E">
        <w:rPr>
          <w:color w:val="000000"/>
        </w:rPr>
        <w:t xml:space="preserve">Od navedenog iznosa rashoda, na plaćanja po jamstvima danim na zahtjev društva HŽ </w:t>
      </w:r>
      <w:proofErr w:type="spellStart"/>
      <w:r w:rsidR="00924507" w:rsidRPr="00F4732E">
        <w:rPr>
          <w:color w:val="000000"/>
        </w:rPr>
        <w:t>Cargo</w:t>
      </w:r>
      <w:proofErr w:type="spellEnd"/>
      <w:r w:rsidR="00924507" w:rsidRPr="00F4732E">
        <w:rPr>
          <w:color w:val="000000"/>
        </w:rPr>
        <w:t xml:space="preserve"> d.o.o. odnosi se 30.635.793,97 kuna i društva Brodarski institut d.o.o. 3.978.568,04 k</w:t>
      </w:r>
      <w:r w:rsidR="00F44758">
        <w:rPr>
          <w:color w:val="000000"/>
        </w:rPr>
        <w:t>u</w:t>
      </w:r>
      <w:r w:rsidR="00924507" w:rsidRPr="00F4732E">
        <w:rPr>
          <w:color w:val="000000"/>
        </w:rPr>
        <w:t>n</w:t>
      </w:r>
      <w:r w:rsidR="00F44758">
        <w:rPr>
          <w:color w:val="000000"/>
        </w:rPr>
        <w:t>a</w:t>
      </w:r>
      <w:r w:rsidR="00924507" w:rsidRPr="00F4732E">
        <w:rPr>
          <w:color w:val="000000"/>
        </w:rPr>
        <w:t>.</w:t>
      </w:r>
      <w:r w:rsidRPr="00F4732E">
        <w:rPr>
          <w:color w:val="000000"/>
        </w:rPr>
        <w:t xml:space="preserve"> U 2020. prilagođeni su podaci na način da su podaci iskazan u okviru </w:t>
      </w:r>
      <w:r w:rsidR="00924507" w:rsidRPr="00F4732E">
        <w:rPr>
          <w:color w:val="000000"/>
        </w:rPr>
        <w:t>izdataka</w:t>
      </w:r>
      <w:r w:rsidRPr="00F4732E">
        <w:rPr>
          <w:color w:val="000000"/>
        </w:rPr>
        <w:t xml:space="preserve"> u 2020. iskazani na pripadajućim računima kapitalnih pomoći.</w:t>
      </w:r>
    </w:p>
    <w:p w14:paraId="3AB95EEB" w14:textId="035657F3" w:rsidR="00924507" w:rsidRPr="00F4732E" w:rsidRDefault="00924507" w:rsidP="00E330A8">
      <w:pPr>
        <w:shd w:val="clear" w:color="auto" w:fill="FFFFFF"/>
        <w:jc w:val="both"/>
        <w:rPr>
          <w:color w:val="000000"/>
        </w:rPr>
      </w:pPr>
    </w:p>
    <w:p w14:paraId="45DDD2B9" w14:textId="57BB1021" w:rsidR="0027093F" w:rsidRPr="00F4732E" w:rsidRDefault="00F4732E" w:rsidP="0027093F">
      <w:pPr>
        <w:pStyle w:val="Naslov"/>
        <w:keepNext/>
        <w:rPr>
          <w:b w:val="0"/>
          <w:bCs w:val="0"/>
        </w:rPr>
      </w:pPr>
      <w:r w:rsidRPr="00F4732E">
        <w:rPr>
          <w:b w:val="0"/>
          <w:bCs w:val="0"/>
        </w:rPr>
        <w:t>Bilješka 29</w:t>
      </w:r>
      <w:r w:rsidR="0027093F" w:rsidRPr="00F4732E">
        <w:rPr>
          <w:b w:val="0"/>
          <w:bCs w:val="0"/>
        </w:rPr>
        <w:t>.</w:t>
      </w:r>
    </w:p>
    <w:p w14:paraId="3337789D" w14:textId="74C90177" w:rsidR="0027093F" w:rsidRPr="00F4732E" w:rsidRDefault="00A81556" w:rsidP="00F4732E">
      <w:pPr>
        <w:pStyle w:val="Naslov"/>
        <w:keepNext/>
        <w:rPr>
          <w:b w:val="0"/>
          <w:bCs w:val="0"/>
          <w:szCs w:val="28"/>
        </w:rPr>
      </w:pPr>
      <w:r w:rsidRPr="00F4732E">
        <w:rPr>
          <w:b w:val="0"/>
          <w:bCs w:val="0"/>
          <w:szCs w:val="28"/>
        </w:rPr>
        <w:t>AOP 347</w:t>
      </w:r>
      <w:r w:rsidR="0027093F" w:rsidRPr="00F4732E">
        <w:rPr>
          <w:b w:val="0"/>
          <w:bCs w:val="0"/>
          <w:szCs w:val="28"/>
        </w:rPr>
        <w:t xml:space="preserve"> Zemljište</w:t>
      </w:r>
    </w:p>
    <w:p w14:paraId="4B33CE25" w14:textId="77777777" w:rsidR="0027093F" w:rsidRPr="00F4732E" w:rsidRDefault="0027093F" w:rsidP="0027093F">
      <w:pPr>
        <w:pStyle w:val="xmsonormal"/>
        <w:spacing w:before="0" w:beforeAutospacing="0"/>
        <w:jc w:val="both"/>
      </w:pPr>
      <w:r w:rsidRPr="00F4732E">
        <w:t xml:space="preserve">U 2021. evidentirani su rashodi za zemljišta u iznosu od 1.182.646 </w:t>
      </w:r>
      <w:r w:rsidRPr="00F4732E">
        <w:rPr>
          <w:bCs/>
        </w:rPr>
        <w:t>kuna, odnosno manji su za 98,8% u odnosu na ostvarenje 2020. godine</w:t>
      </w:r>
      <w:r w:rsidRPr="00F4732E">
        <w:t>.</w:t>
      </w:r>
    </w:p>
    <w:p w14:paraId="1D783750" w14:textId="46A53199"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xml:space="preserve">Radi osiguranja novčane tražbine iz Ugovora o kreditu broj 94/47/03, sklopljenog dana 7. kolovoza 2003. godine između CREDO BANKE d.d., Split (u ime i za račun Fonda za razvoj i zapošljavanje, Zagreb) i društva DRVO FINAL d.o.o., Tršće (kao korisnika kredita), sklopljen je Sporazum radi osiguranja novčane tražbine prijenosom vlasništva nekretnina od 7. kolovoza 2003. godine temeljem kojeg je zasnovano založno pravo na nekretninama u vlasništvu društva DRVO FINAL d.o.o. Tršće, u korist Fonda za razvoj i zapošljavanje na nekretninama upisanim kod Općinskog suda u Rijeci, zemljišnoknjižni odjel Čabar, k.o. Čabar, </w:t>
      </w:r>
      <w:proofErr w:type="spellStart"/>
      <w:r w:rsidRPr="00F4732E">
        <w:rPr>
          <w:color w:val="212121"/>
        </w:rPr>
        <w:t>zk.ul</w:t>
      </w:r>
      <w:proofErr w:type="spellEnd"/>
      <w:r w:rsidRPr="00F4732E">
        <w:rPr>
          <w:color w:val="212121"/>
        </w:rPr>
        <w:t>. 1355, k.č.br. 6210, k.č.br. 6211, k.č.br.6212, k.č.br. 6213, i k.č.br. 6214/1.</w:t>
      </w:r>
    </w:p>
    <w:p w14:paraId="27EEB1AF" w14:textId="77777777"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w:t>
      </w:r>
    </w:p>
    <w:p w14:paraId="0B235434" w14:textId="77777777"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xml:space="preserve">U stečajnom postupku koji se vodi nad stečajnim dužnikom DRVO FINAL d.o.o. u stečaju, za navedene nekretnine Ministarstvo financija je, kao </w:t>
      </w:r>
      <w:proofErr w:type="spellStart"/>
      <w:r w:rsidRPr="00F4732E">
        <w:rPr>
          <w:color w:val="212121"/>
        </w:rPr>
        <w:t>sljednik</w:t>
      </w:r>
      <w:proofErr w:type="spellEnd"/>
      <w:r w:rsidRPr="00F4732E">
        <w:rPr>
          <w:color w:val="212121"/>
        </w:rPr>
        <w:t xml:space="preserve"> bivšeg Fonda za razvoj i zapošljavanje, sukladno odredbama čl. 247. st. 7. Stečajnog zakona (Narodne Novine 71/15, 104/17), kao prvi </w:t>
      </w:r>
      <w:proofErr w:type="spellStart"/>
      <w:r w:rsidRPr="00F4732E">
        <w:rPr>
          <w:color w:val="212121"/>
        </w:rPr>
        <w:t>razlučni</w:t>
      </w:r>
      <w:proofErr w:type="spellEnd"/>
      <w:r w:rsidRPr="00F4732E">
        <w:rPr>
          <w:color w:val="212121"/>
        </w:rPr>
        <w:t xml:space="preserve"> vjerovnik u </w:t>
      </w:r>
      <w:proofErr w:type="spellStart"/>
      <w:r w:rsidRPr="00F4732E">
        <w:rPr>
          <w:color w:val="212121"/>
        </w:rPr>
        <w:t>prednosnom</w:t>
      </w:r>
      <w:proofErr w:type="spellEnd"/>
      <w:r w:rsidRPr="00F4732E">
        <w:rPr>
          <w:color w:val="212121"/>
        </w:rPr>
        <w:t xml:space="preserve"> redu izjavilo da koristi pravo prvokupa stavljanjem u prijeboj svoje tražbine s </w:t>
      </w:r>
      <w:proofErr w:type="spellStart"/>
      <w:r w:rsidRPr="00F4732E">
        <w:rPr>
          <w:color w:val="212121"/>
        </w:rPr>
        <w:t>protutražbinom</w:t>
      </w:r>
      <w:proofErr w:type="spellEnd"/>
      <w:r w:rsidRPr="00F4732E">
        <w:rPr>
          <w:color w:val="212121"/>
        </w:rPr>
        <w:t xml:space="preserve"> stečajnog dužnika po osnovi cijene u visini utvrđene vrijednosti nekretnine od 4.891.083,26 kuna.</w:t>
      </w:r>
    </w:p>
    <w:p w14:paraId="65620942" w14:textId="77777777" w:rsidR="0027093F" w:rsidRPr="00D42A73" w:rsidRDefault="0027093F" w:rsidP="0027093F">
      <w:pPr>
        <w:pStyle w:val="xmsonormal"/>
        <w:shd w:val="clear" w:color="auto" w:fill="FFFFFF"/>
        <w:spacing w:before="0" w:beforeAutospacing="0" w:after="0" w:afterAutospacing="0"/>
        <w:jc w:val="both"/>
        <w:rPr>
          <w:color w:val="212121"/>
        </w:rPr>
      </w:pPr>
      <w:r w:rsidRPr="00D42A73">
        <w:rPr>
          <w:color w:val="212121"/>
        </w:rPr>
        <w:t> </w:t>
      </w:r>
    </w:p>
    <w:p w14:paraId="7D0A15EB" w14:textId="22B6EF80"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Rješenjima Trgovačkog suda u Rijeci pod poslovnim brojevima: 14 St-556/2016-93, 14 St-556/2016-94 te 14 St-556/2016-95 od 7. prosinca 2020. godine, kao i rješenjima pod poslovnim brojevima: 14 St-556/2016-94, 14 St-556/2016-94 te 14 St-556/2016-94 od 15. prosinca 2020. godine navedene nekretnine su dosuđene kupcu, Republika Hrvatska, OIB: 52634238587. Temeljem istih rješenja namireni su troškovi stečajnog postupka u ukupnom iznosu od 509.601,21 k</w:t>
      </w:r>
      <w:r w:rsidR="00F44758">
        <w:rPr>
          <w:color w:val="212121"/>
        </w:rPr>
        <w:t>u</w:t>
      </w:r>
      <w:r w:rsidRPr="00F4732E">
        <w:rPr>
          <w:color w:val="212121"/>
        </w:rPr>
        <w:t>n</w:t>
      </w:r>
      <w:r w:rsidR="00F44758">
        <w:rPr>
          <w:color w:val="212121"/>
        </w:rPr>
        <w:t>a</w:t>
      </w:r>
      <w:r w:rsidRPr="00F4732E">
        <w:rPr>
          <w:color w:val="212121"/>
        </w:rPr>
        <w:t>.</w:t>
      </w:r>
    </w:p>
    <w:p w14:paraId="06F7DCA0" w14:textId="77777777"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w:t>
      </w:r>
    </w:p>
    <w:p w14:paraId="6DD78A2A" w14:textId="77777777"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Zaključcima Trgovačkog suda u Rijeci pod poslovnim brojevima: 14 St-556/2016-115, 14 St-556/2016-116, 14 St-556/2016-117 od 1. ožujka 2021. godine predmetne nekretnine predane su kupcu Republici Hrvatskoj, a dana 2. ožujka 2021. godine Općinski sud u Rijeci, stalna služba u Delnicama, zemljišnoknjižni odjel Čabar rješenjima pod poslovnim brojevima Z-7178/2021 te Z-7175/2021 dopustio je upis vlasništva.</w:t>
      </w:r>
    </w:p>
    <w:p w14:paraId="00DC5543" w14:textId="77777777"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w:t>
      </w:r>
    </w:p>
    <w:p w14:paraId="1FBFA350" w14:textId="1A8E1A08"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xml:space="preserve">Ministarstvo financija dalo je uputu </w:t>
      </w:r>
      <w:r w:rsidR="00BD170B">
        <w:rPr>
          <w:color w:val="212121"/>
        </w:rPr>
        <w:t>Hrvatskoj</w:t>
      </w:r>
      <w:r w:rsidRPr="00F4732E">
        <w:rPr>
          <w:color w:val="212121"/>
        </w:rPr>
        <w:t xml:space="preserve"> agenciji za osiguranje </w:t>
      </w:r>
      <w:r w:rsidR="00BD170B">
        <w:rPr>
          <w:color w:val="212121"/>
        </w:rPr>
        <w:t>depozita</w:t>
      </w:r>
      <w:r w:rsidRPr="00F4732E">
        <w:rPr>
          <w:color w:val="212121"/>
        </w:rPr>
        <w:t xml:space="preserve"> da potraživanje prema dužniku DRVO-FINAL d.o.o. u stečaju umanji za iznos </w:t>
      </w:r>
      <w:proofErr w:type="spellStart"/>
      <w:r w:rsidRPr="00F4732E">
        <w:rPr>
          <w:color w:val="212121"/>
        </w:rPr>
        <w:t>kupovnine</w:t>
      </w:r>
      <w:proofErr w:type="spellEnd"/>
      <w:r w:rsidRPr="00F4732E">
        <w:rPr>
          <w:color w:val="212121"/>
        </w:rPr>
        <w:t xml:space="preserve"> umanjen za troškove, odnosno za iznos od 4.381.482,05 kuna.</w:t>
      </w:r>
    </w:p>
    <w:p w14:paraId="15E901D8" w14:textId="77777777" w:rsidR="0027093F" w:rsidRPr="00F4732E" w:rsidRDefault="0027093F" w:rsidP="0027093F">
      <w:pPr>
        <w:pStyle w:val="xmsonormal"/>
        <w:shd w:val="clear" w:color="auto" w:fill="FFFFFF"/>
        <w:spacing w:before="0" w:beforeAutospacing="0" w:after="0" w:afterAutospacing="0"/>
        <w:jc w:val="both"/>
        <w:rPr>
          <w:color w:val="212121"/>
        </w:rPr>
      </w:pPr>
    </w:p>
    <w:p w14:paraId="26F868EA" w14:textId="2427EF33" w:rsidR="0027093F" w:rsidRPr="00F4732E" w:rsidRDefault="0027093F" w:rsidP="0027093F">
      <w:pPr>
        <w:pStyle w:val="xmsonormal"/>
        <w:shd w:val="clear" w:color="auto" w:fill="FFFFFF"/>
        <w:spacing w:before="0" w:beforeAutospacing="0" w:after="0" w:afterAutospacing="0"/>
        <w:jc w:val="both"/>
        <w:rPr>
          <w:color w:val="212121"/>
        </w:rPr>
      </w:pPr>
      <w:r w:rsidRPr="00F4732E">
        <w:rPr>
          <w:color w:val="212121"/>
        </w:rPr>
        <w:t xml:space="preserve">Ministarstvo financija iznos </w:t>
      </w:r>
      <w:proofErr w:type="spellStart"/>
      <w:r w:rsidRPr="00F4732E">
        <w:rPr>
          <w:color w:val="212121"/>
        </w:rPr>
        <w:t>kupovnine</w:t>
      </w:r>
      <w:proofErr w:type="spellEnd"/>
      <w:r w:rsidRPr="00F4732E">
        <w:rPr>
          <w:color w:val="212121"/>
        </w:rPr>
        <w:t xml:space="preserve"> umanjen za troškove, odnosno za iznos od 1.182.646 kune, evidentiralo je zamjenu zemljiš</w:t>
      </w:r>
      <w:r w:rsidR="005A7E92" w:rsidRPr="00F4732E">
        <w:rPr>
          <w:color w:val="212121"/>
        </w:rPr>
        <w:t xml:space="preserve">ta za namirenje </w:t>
      </w:r>
      <w:proofErr w:type="spellStart"/>
      <w:r w:rsidR="005A7E92" w:rsidRPr="00F4732E">
        <w:rPr>
          <w:color w:val="212121"/>
        </w:rPr>
        <w:t>tradžbine</w:t>
      </w:r>
      <w:proofErr w:type="spellEnd"/>
      <w:r w:rsidR="005A7E92" w:rsidRPr="00F4732E">
        <w:rPr>
          <w:color w:val="212121"/>
        </w:rPr>
        <w:t xml:space="preserve"> u 2021</w:t>
      </w:r>
      <w:r w:rsidRPr="00F4732E">
        <w:rPr>
          <w:color w:val="212121"/>
        </w:rPr>
        <w:t>. godini.</w:t>
      </w:r>
    </w:p>
    <w:p w14:paraId="22DDA600" w14:textId="77777777" w:rsidR="0027093F" w:rsidRPr="00F4732E" w:rsidRDefault="0027093F" w:rsidP="0027093F">
      <w:pPr>
        <w:pStyle w:val="xmsonormal"/>
        <w:jc w:val="both"/>
      </w:pPr>
      <w:r w:rsidRPr="00F4732E">
        <w:t xml:space="preserve">Vezano uz realizirane rashode u 2020. godini, dana 1. siječnja 2020. godine odobrena je </w:t>
      </w:r>
      <w:proofErr w:type="spellStart"/>
      <w:r w:rsidRPr="00F4732E">
        <w:t>predstečajna</w:t>
      </w:r>
      <w:proofErr w:type="spellEnd"/>
      <w:r w:rsidRPr="00F4732E">
        <w:t xml:space="preserve"> nagodba nad društvom Apartmani Medena d.d. Ministarstvo financija ima potraživanje prema navedenom društvu s osnova izdanih i protestiranih državnih jamstava te je svoju tražbinu u iznosu od 92.895.126,20 kuna prijavilo u </w:t>
      </w:r>
      <w:proofErr w:type="spellStart"/>
      <w:r w:rsidRPr="00F4732E">
        <w:t>predstečajni</w:t>
      </w:r>
      <w:proofErr w:type="spellEnd"/>
      <w:r w:rsidRPr="00F4732E">
        <w:t xml:space="preserve"> postupak. U navedenom </w:t>
      </w:r>
      <w:proofErr w:type="spellStart"/>
      <w:r w:rsidRPr="00F4732E">
        <w:t>predstečajnom</w:t>
      </w:r>
      <w:proofErr w:type="spellEnd"/>
      <w:r w:rsidRPr="00F4732E">
        <w:t xml:space="preserve"> postupku prihvaćen je plan namirenja kojim se navedena tražbina Ministarstva financija regulirala nenovčanim namirenjem zamjenom za zemljište (100% glavnice i redovne kamate tj. 51.406.663,85 kuna i 100% zatezne kamate tj. 41.488.462,35 kuna) u iznosu od 92.895.126,20 </w:t>
      </w:r>
      <w:r w:rsidRPr="00F4732E">
        <w:rPr>
          <w:bCs/>
        </w:rPr>
        <w:t>kuna</w:t>
      </w:r>
      <w:r w:rsidRPr="00F4732E">
        <w:t>.</w:t>
      </w:r>
    </w:p>
    <w:p w14:paraId="2C3606AF" w14:textId="77777777" w:rsidR="0027093F" w:rsidRPr="00F4732E" w:rsidRDefault="0027093F" w:rsidP="0027093F">
      <w:pPr>
        <w:pStyle w:val="xmsonormal"/>
        <w:spacing w:before="0" w:beforeAutospacing="0" w:after="0" w:afterAutospacing="0"/>
        <w:jc w:val="both"/>
      </w:pPr>
      <w:r w:rsidRPr="00F4732E">
        <w:t xml:space="preserve">Radi osiguranja novčane tražbine iz Ugovora o dugoročnom kreditu broj 38/2008-FRZ, sklopljenog dana 27. kolovoza 2008. godine između Hrvatske poštanske banke d.d., Zagreb (u ime i za račun Fonda za razvoj i zapošljavanje, Zagreb) i društva EKO GRAD d.o.o., Vukovar (kao korisnika kredita), društva Vilinske poljane d.o.o. Donja Stubica (kao sudužnika) i Davora </w:t>
      </w:r>
      <w:proofErr w:type="spellStart"/>
      <w:r w:rsidRPr="00F4732E">
        <w:t>Vlajčevića</w:t>
      </w:r>
      <w:proofErr w:type="spellEnd"/>
      <w:r w:rsidRPr="00F4732E">
        <w:t xml:space="preserve"> (kao jamca platca), zasnovano je založno pravo na nekretninama u vlasništvu društva Vilinske poljane d.o.o. Donja Stubica temeljem Sporazuma br. 246/08 o zasnivanju založnog prava (simultane hipoteke) na nekretninama radi osiguranja od 28. kolovoza 2008. godine u korist Fonda za razvoj i zapošljavanje na nekretninama upisanim kod Općinskog suda u Zlataru, Zemljišnoknjižni odjel Donja Stubica, k.o. Stubičko </w:t>
      </w:r>
      <w:proofErr w:type="spellStart"/>
      <w:r w:rsidRPr="00F4732E">
        <w:t>Podgorje</w:t>
      </w:r>
      <w:proofErr w:type="spellEnd"/>
      <w:r w:rsidRPr="00F4732E">
        <w:t xml:space="preserve">: </w:t>
      </w:r>
    </w:p>
    <w:p w14:paraId="2FAB3E01" w14:textId="77777777" w:rsidR="0027093F" w:rsidRPr="00F4732E" w:rsidRDefault="0027093F" w:rsidP="0027093F">
      <w:pPr>
        <w:pStyle w:val="xmsonormal"/>
        <w:spacing w:before="0" w:beforeAutospacing="0" w:after="0" w:afterAutospacing="0"/>
        <w:jc w:val="both"/>
      </w:pPr>
      <w:r w:rsidRPr="00F4732E">
        <w:t> </w:t>
      </w:r>
    </w:p>
    <w:p w14:paraId="57768710" w14:textId="77777777" w:rsidR="0027093F" w:rsidRPr="00F4732E" w:rsidRDefault="0027093F" w:rsidP="0027093F">
      <w:pPr>
        <w:pStyle w:val="xmsonormal"/>
        <w:spacing w:before="0" w:beforeAutospacing="0" w:after="0" w:afterAutospacing="0"/>
        <w:jc w:val="both"/>
      </w:pPr>
      <w:r w:rsidRPr="00F4732E">
        <w:t xml:space="preserve">- Udio ½ k.č.br. 6/5 te k.č.br. 6/15 u zk.ul.br. 1026, </w:t>
      </w:r>
    </w:p>
    <w:p w14:paraId="79285912" w14:textId="77777777" w:rsidR="0027093F" w:rsidRPr="00F4732E" w:rsidRDefault="0027093F" w:rsidP="0027093F">
      <w:pPr>
        <w:pStyle w:val="xmsonormal"/>
        <w:spacing w:before="0" w:beforeAutospacing="0" w:after="0" w:afterAutospacing="0"/>
        <w:jc w:val="both"/>
      </w:pPr>
      <w:r w:rsidRPr="00F4732E">
        <w:t>- Udio ½ k.č.br. 19 u zk.ul.br. 1660,</w:t>
      </w:r>
    </w:p>
    <w:p w14:paraId="1BEE1169" w14:textId="77777777" w:rsidR="0027093F" w:rsidRPr="00F4732E" w:rsidRDefault="0027093F" w:rsidP="0027093F">
      <w:pPr>
        <w:pStyle w:val="xmsonormal"/>
        <w:spacing w:before="0" w:beforeAutospacing="0" w:after="0" w:afterAutospacing="0"/>
        <w:jc w:val="both"/>
      </w:pPr>
      <w:r w:rsidRPr="00F4732E">
        <w:t>- Udio ½ k.č.br. 6/6, k.č.br. 6/7, k.č.br. 6/16, k.č.br. 8 te k.č.br. 14/1 u zk.ul.br. 1657,</w:t>
      </w:r>
    </w:p>
    <w:p w14:paraId="171EA504" w14:textId="77777777" w:rsidR="0027093F" w:rsidRPr="00F4732E" w:rsidRDefault="0027093F" w:rsidP="0027093F">
      <w:pPr>
        <w:pStyle w:val="xmsonormal"/>
        <w:spacing w:before="0" w:beforeAutospacing="0" w:after="0" w:afterAutospacing="0"/>
        <w:jc w:val="both"/>
      </w:pPr>
      <w:r w:rsidRPr="00F4732E">
        <w:t>- Udio ½ k.č.br. 13/4, k.č.br. 15/3, k.č.br. 20/1 te k.č.br. 20/3 u zk.ul.br. 1659,</w:t>
      </w:r>
    </w:p>
    <w:p w14:paraId="0DAD42F4" w14:textId="77777777" w:rsidR="0027093F" w:rsidRPr="00F4732E" w:rsidRDefault="0027093F" w:rsidP="0027093F">
      <w:pPr>
        <w:pStyle w:val="xmsonormal"/>
        <w:spacing w:before="0" w:beforeAutospacing="0" w:after="0" w:afterAutospacing="0"/>
        <w:jc w:val="both"/>
      </w:pPr>
      <w:r w:rsidRPr="00F4732E">
        <w:t>- k.č.br. 112/1, k.č.br. 112/2 te k.č.br. 135 u zk.ul.br. 1689 (k.č.br. 112/1 i k.č.br. 135 sada upisane u zk.ul.br. 1849).</w:t>
      </w:r>
    </w:p>
    <w:p w14:paraId="4AEE3C78" w14:textId="77777777" w:rsidR="0027093F" w:rsidRPr="00F4732E" w:rsidRDefault="0027093F" w:rsidP="0027093F">
      <w:pPr>
        <w:pStyle w:val="xmsonormal"/>
        <w:spacing w:before="0" w:beforeAutospacing="0" w:after="0" w:afterAutospacing="0"/>
        <w:jc w:val="both"/>
      </w:pPr>
      <w:r w:rsidRPr="00F4732E">
        <w:t> </w:t>
      </w:r>
    </w:p>
    <w:p w14:paraId="3092996B" w14:textId="77777777" w:rsidR="0027093F" w:rsidRPr="00F4732E" w:rsidRDefault="0027093F" w:rsidP="0027093F">
      <w:pPr>
        <w:pStyle w:val="xmsonormal"/>
        <w:spacing w:before="0" w:beforeAutospacing="0" w:after="0" w:afterAutospacing="0"/>
        <w:jc w:val="both"/>
      </w:pPr>
      <w:r w:rsidRPr="00F4732E">
        <w:t xml:space="preserve">U stečajnom postupku koji se vodi nad stečajnim dužnikom Vilinske poljane d.o.o., za navedene nekretnine Ministarstvo financija RH je, kao slijednik bivšeg Fonda za razvoj i zapošljavanje, na dražbama održanim 24. lipnja 2020. godine, sukladno odredbama čl. 247. st. 7. Stečajnog zakona (Narodne Novine 71/15, 104/17), kao prvi </w:t>
      </w:r>
      <w:proofErr w:type="spellStart"/>
      <w:r w:rsidRPr="00F4732E">
        <w:t>razlučni</w:t>
      </w:r>
      <w:proofErr w:type="spellEnd"/>
      <w:r w:rsidRPr="00F4732E">
        <w:t xml:space="preserve"> vjerovnik u </w:t>
      </w:r>
      <w:proofErr w:type="spellStart"/>
      <w:r w:rsidRPr="00F4732E">
        <w:t>prednosnom</w:t>
      </w:r>
      <w:proofErr w:type="spellEnd"/>
      <w:r w:rsidRPr="00F4732E">
        <w:t xml:space="preserve"> redu izjavilo da koristi pravo prvokupa stavljanjem u prijeboj svoje tražbine s </w:t>
      </w:r>
      <w:proofErr w:type="spellStart"/>
      <w:r w:rsidRPr="00F4732E">
        <w:t>protutražbinom</w:t>
      </w:r>
      <w:proofErr w:type="spellEnd"/>
      <w:r w:rsidRPr="00F4732E">
        <w:t xml:space="preserve"> stečajnog dužnika po osnovi cijene u visini utvrđene vrijednosti nekretnine od 2.440.378,17 kuna. Rješenjima Trgovačkog suda u Zagrebu pod poslovnim brojevima: 72. St-1693/2013-205, 72. St-1693/2013-206, 72. St-1693/2013-207, 72. St-1693/2013-208, 72. St-1693/2013-209 od 7. srpnja 2020. godine nekretnine su dosuđene kupcu, Republika Hrvatska, Ministarstvo financija, OIB: 52634238587.</w:t>
      </w:r>
    </w:p>
    <w:p w14:paraId="03145ED7" w14:textId="77777777" w:rsidR="0027093F" w:rsidRPr="00F4732E" w:rsidRDefault="0027093F" w:rsidP="0027093F">
      <w:pPr>
        <w:pStyle w:val="xmsonormal"/>
        <w:spacing w:before="0" w:beforeAutospacing="0" w:after="0" w:afterAutospacing="0"/>
        <w:jc w:val="both"/>
      </w:pPr>
      <w:r w:rsidRPr="00F4732E">
        <w:t> </w:t>
      </w:r>
    </w:p>
    <w:p w14:paraId="3F86FDBA" w14:textId="77777777" w:rsidR="0027093F" w:rsidRPr="00F4732E" w:rsidRDefault="0027093F" w:rsidP="0027093F">
      <w:pPr>
        <w:pStyle w:val="xmsonormal"/>
        <w:spacing w:before="0" w:beforeAutospacing="0" w:after="0" w:afterAutospacing="0"/>
        <w:jc w:val="both"/>
      </w:pPr>
      <w:r w:rsidRPr="00F4732E">
        <w:t xml:space="preserve">Dana 23. rujna 2020. godine doneseno je rješenje o namirenju temeljem kojeg je Ministarstvo financija namirilo troškove  stečajnog postupka u iznosu od 172.494,46 </w:t>
      </w:r>
      <w:r w:rsidRPr="00F4732E">
        <w:rPr>
          <w:bCs/>
        </w:rPr>
        <w:t>kuna</w:t>
      </w:r>
      <w:r w:rsidRPr="00F4732E">
        <w:t xml:space="preserve">. </w:t>
      </w:r>
    </w:p>
    <w:p w14:paraId="38C09513" w14:textId="77777777" w:rsidR="0027093F" w:rsidRPr="00F4732E" w:rsidRDefault="0027093F" w:rsidP="0027093F">
      <w:pPr>
        <w:pStyle w:val="xmsonormal"/>
        <w:spacing w:before="0" w:beforeAutospacing="0" w:after="0" w:afterAutospacing="0"/>
        <w:jc w:val="both"/>
      </w:pPr>
      <w:r w:rsidRPr="00F4732E">
        <w:t> </w:t>
      </w:r>
    </w:p>
    <w:p w14:paraId="4F23D5D7" w14:textId="77777777" w:rsidR="0027093F" w:rsidRPr="00F4732E" w:rsidRDefault="0027093F" w:rsidP="0027093F">
      <w:pPr>
        <w:pStyle w:val="xmsonormal"/>
        <w:spacing w:before="0" w:beforeAutospacing="0" w:after="0" w:afterAutospacing="0"/>
        <w:jc w:val="both"/>
      </w:pPr>
      <w:r w:rsidRPr="00F4732E">
        <w:t>Zaključkom Trgovačkog suda u Zagrebu od 19. listopada 2020. godine predmetne nekretnine predane su u posjed kupcu Republici Hrvatskoj, a dana 29. listopada 2020. godine Općinski sud u Zlataru, zemljišnoknjižni odjel Donja Stubica je rješenjem pod poslovnim brojem Z-11267/2020 te dana 30. studenog 2020. godine rješenjem pod poslovnim brojem Z-12460/2020, dopustio upis vlasništva.</w:t>
      </w:r>
    </w:p>
    <w:p w14:paraId="2CCF6E13" w14:textId="77777777" w:rsidR="0027093F" w:rsidRPr="00F4732E" w:rsidRDefault="0027093F" w:rsidP="0027093F">
      <w:pPr>
        <w:pStyle w:val="xmsonormal"/>
        <w:spacing w:before="0" w:beforeAutospacing="0" w:after="0" w:afterAutospacing="0"/>
        <w:jc w:val="both"/>
      </w:pPr>
      <w:r w:rsidRPr="00F4732E">
        <w:t> </w:t>
      </w:r>
    </w:p>
    <w:p w14:paraId="2CBEA7FE" w14:textId="77777777" w:rsidR="0027093F" w:rsidRDefault="0027093F" w:rsidP="0027093F">
      <w:pPr>
        <w:pStyle w:val="xmsonormal"/>
        <w:spacing w:before="0" w:beforeAutospacing="0" w:after="0" w:afterAutospacing="0"/>
        <w:jc w:val="both"/>
      </w:pPr>
      <w:r w:rsidRPr="00F4732E">
        <w:t xml:space="preserve">Ministarstvo financija iznos </w:t>
      </w:r>
      <w:proofErr w:type="spellStart"/>
      <w:r w:rsidRPr="00F4732E">
        <w:t>kupovnine</w:t>
      </w:r>
      <w:proofErr w:type="spellEnd"/>
      <w:r w:rsidRPr="00F4732E">
        <w:t xml:space="preserve"> umanjen za troškove, odnosno za iznos od 2.267.883,71 kune, evidentiralo je zamjenu zemljišta za namirenje </w:t>
      </w:r>
      <w:proofErr w:type="spellStart"/>
      <w:r w:rsidRPr="00F4732E">
        <w:t>tradžbine</w:t>
      </w:r>
      <w:proofErr w:type="spellEnd"/>
      <w:r w:rsidRPr="00F4732E">
        <w:t xml:space="preserve"> u 2020. godini.</w:t>
      </w:r>
    </w:p>
    <w:p w14:paraId="4C17B43F" w14:textId="0994753A" w:rsidR="0027093F" w:rsidRPr="00F4732E" w:rsidRDefault="00F4732E" w:rsidP="0027093F">
      <w:pPr>
        <w:pStyle w:val="Naslov"/>
        <w:keepNext/>
        <w:rPr>
          <w:b w:val="0"/>
          <w:bCs w:val="0"/>
        </w:rPr>
      </w:pPr>
      <w:r w:rsidRPr="00F4732E">
        <w:rPr>
          <w:b w:val="0"/>
          <w:bCs w:val="0"/>
        </w:rPr>
        <w:lastRenderedPageBreak/>
        <w:t>Bilješka 30.</w:t>
      </w:r>
    </w:p>
    <w:p w14:paraId="4C5B14C9" w14:textId="2CA17355" w:rsidR="0027093F" w:rsidRPr="00F4732E" w:rsidRDefault="0027093F" w:rsidP="00F4732E">
      <w:pPr>
        <w:pStyle w:val="Naslov"/>
        <w:keepNext/>
        <w:rPr>
          <w:b w:val="0"/>
          <w:bCs w:val="0"/>
          <w:szCs w:val="28"/>
        </w:rPr>
      </w:pPr>
      <w:r w:rsidRPr="00F4732E">
        <w:rPr>
          <w:b w:val="0"/>
          <w:bCs w:val="0"/>
          <w:szCs w:val="28"/>
        </w:rPr>
        <w:t>AOP 360 Poslovni subjekti</w:t>
      </w:r>
    </w:p>
    <w:p w14:paraId="51A40938" w14:textId="3D504416" w:rsidR="0027093F" w:rsidRPr="00F4732E" w:rsidRDefault="0027093F" w:rsidP="005A7E92">
      <w:pPr>
        <w:pStyle w:val="Naslov"/>
        <w:keepNext/>
        <w:jc w:val="both"/>
        <w:rPr>
          <w:b w:val="0"/>
          <w:bCs w:val="0"/>
          <w:sz w:val="24"/>
        </w:rPr>
      </w:pPr>
      <w:r w:rsidRPr="00F4732E">
        <w:rPr>
          <w:b w:val="0"/>
          <w:bCs w:val="0"/>
          <w:sz w:val="24"/>
        </w:rPr>
        <w:t>Rashodi za nabavu poslovnih objekata u 2021. godini ostvareni su u iznosu od 12.547.243 kune, što predstavlja stopostotno povećanje rashoda na navedenom AOP-u s obzirom na to da u 2020. nije bilo realiziranih navedenih rashoda.</w:t>
      </w:r>
      <w:r w:rsidR="005A7E92" w:rsidRPr="00F4732E">
        <w:rPr>
          <w:b w:val="0"/>
          <w:bCs w:val="0"/>
          <w:sz w:val="24"/>
        </w:rPr>
        <w:t xml:space="preserve"> Rashodi ostvareni u 2021. odnose se na rashode vezane uz gore navedeni stečajni postupak koji se vodi nad stečajnim dužnikom DRVO FINAL d.o.o. u stečaju. Ministarstvo financija iznos </w:t>
      </w:r>
      <w:proofErr w:type="spellStart"/>
      <w:r w:rsidR="005A7E92" w:rsidRPr="00F4732E">
        <w:rPr>
          <w:b w:val="0"/>
          <w:bCs w:val="0"/>
          <w:sz w:val="24"/>
        </w:rPr>
        <w:t>kupovnine</w:t>
      </w:r>
      <w:proofErr w:type="spellEnd"/>
      <w:r w:rsidR="005A7E92" w:rsidRPr="00F4732E">
        <w:rPr>
          <w:b w:val="0"/>
          <w:bCs w:val="0"/>
          <w:sz w:val="24"/>
        </w:rPr>
        <w:t xml:space="preserve"> umanjen za troškove, odnosno za iznos od 12.547.243 kune, evidentiralo je zamjenu poslovnih objekata za namirenje </w:t>
      </w:r>
      <w:proofErr w:type="spellStart"/>
      <w:r w:rsidR="005A7E92" w:rsidRPr="00F4732E">
        <w:rPr>
          <w:b w:val="0"/>
          <w:bCs w:val="0"/>
          <w:sz w:val="24"/>
        </w:rPr>
        <w:t>tradžbine</w:t>
      </w:r>
      <w:proofErr w:type="spellEnd"/>
      <w:r w:rsidR="005A7E92" w:rsidRPr="00F4732E">
        <w:rPr>
          <w:b w:val="0"/>
          <w:bCs w:val="0"/>
          <w:sz w:val="24"/>
        </w:rPr>
        <w:t xml:space="preserve"> u 2020. godini.</w:t>
      </w:r>
    </w:p>
    <w:p w14:paraId="2278C98A" w14:textId="7A77E092" w:rsidR="00924507" w:rsidRPr="00F4732E" w:rsidRDefault="00924507" w:rsidP="00E330A8">
      <w:pPr>
        <w:shd w:val="clear" w:color="auto" w:fill="FFFFFF"/>
        <w:jc w:val="both"/>
        <w:rPr>
          <w:color w:val="000000"/>
        </w:rPr>
      </w:pPr>
    </w:p>
    <w:p w14:paraId="3F718A46" w14:textId="6AE33D9F" w:rsidR="005A7E92" w:rsidRPr="00F4732E" w:rsidRDefault="00F4732E" w:rsidP="005A7E92">
      <w:pPr>
        <w:pStyle w:val="Naslov"/>
        <w:keepNext/>
        <w:rPr>
          <w:b w:val="0"/>
          <w:bCs w:val="0"/>
        </w:rPr>
      </w:pPr>
      <w:r w:rsidRPr="00F4732E">
        <w:rPr>
          <w:b w:val="0"/>
          <w:bCs w:val="0"/>
        </w:rPr>
        <w:t>Bilješka 31</w:t>
      </w:r>
      <w:r w:rsidR="005A7E92" w:rsidRPr="00F4732E">
        <w:rPr>
          <w:b w:val="0"/>
          <w:bCs w:val="0"/>
        </w:rPr>
        <w:t>.</w:t>
      </w:r>
    </w:p>
    <w:p w14:paraId="311A5952" w14:textId="0A227087" w:rsidR="005A7E92" w:rsidRPr="00F4732E" w:rsidRDefault="005A7E92" w:rsidP="00F4732E">
      <w:pPr>
        <w:pStyle w:val="Naslov"/>
        <w:keepNext/>
        <w:rPr>
          <w:b w:val="0"/>
          <w:bCs w:val="0"/>
        </w:rPr>
      </w:pPr>
      <w:r w:rsidRPr="00F4732E">
        <w:rPr>
          <w:b w:val="0"/>
          <w:bCs w:val="0"/>
        </w:rPr>
        <w:t>AOP 375 Prijevozna sredstva u pomorskom i riječnom prometu</w:t>
      </w:r>
    </w:p>
    <w:p w14:paraId="2AF6D812" w14:textId="77777777" w:rsidR="005A7E92" w:rsidRPr="00F4732E" w:rsidRDefault="005A7E92" w:rsidP="005A7E92">
      <w:pPr>
        <w:pStyle w:val="Naslov"/>
        <w:keepNext/>
        <w:jc w:val="both"/>
        <w:rPr>
          <w:rFonts w:eastAsia="Calibri"/>
          <w:b w:val="0"/>
          <w:bCs w:val="0"/>
          <w:sz w:val="24"/>
          <w:lang w:eastAsia="en-US"/>
        </w:rPr>
      </w:pPr>
      <w:r w:rsidRPr="00F4732E">
        <w:rPr>
          <w:rFonts w:eastAsia="Calibri"/>
          <w:b w:val="0"/>
          <w:bCs w:val="0"/>
          <w:sz w:val="24"/>
          <w:lang w:eastAsia="en-US"/>
        </w:rPr>
        <w:t>U 2021. godini evidentirani su rashodi za nabavu prijevoznih sredstava u pomorskom i riječnom prometu u iznosu od 72.374.569 kuna, odnosno manji su za 49,1% u odnosu na ostvarenje u 2020. godini.</w:t>
      </w:r>
    </w:p>
    <w:p w14:paraId="28455BC6" w14:textId="77777777" w:rsidR="005A7E92" w:rsidRPr="00F4732E" w:rsidRDefault="005A7E92" w:rsidP="005A7E92">
      <w:pPr>
        <w:pStyle w:val="Naslov"/>
        <w:keepNext/>
        <w:jc w:val="both"/>
        <w:rPr>
          <w:rFonts w:eastAsia="Calibri"/>
          <w:b w:val="0"/>
          <w:bCs w:val="0"/>
          <w:sz w:val="24"/>
          <w:lang w:eastAsia="en-US"/>
        </w:rPr>
      </w:pPr>
    </w:p>
    <w:p w14:paraId="79FD3580" w14:textId="369962B7" w:rsidR="005A7E92" w:rsidRPr="00F4732E" w:rsidRDefault="005A7E92" w:rsidP="005A7E92">
      <w:pPr>
        <w:pStyle w:val="Naslov"/>
        <w:keepNext/>
        <w:jc w:val="both"/>
        <w:rPr>
          <w:rFonts w:eastAsia="Calibri"/>
          <w:b w:val="0"/>
          <w:bCs w:val="0"/>
          <w:sz w:val="24"/>
          <w:lang w:eastAsia="en-US"/>
        </w:rPr>
      </w:pPr>
      <w:r w:rsidRPr="00F4732E">
        <w:rPr>
          <w:rFonts w:eastAsia="Calibri"/>
          <w:b w:val="0"/>
          <w:bCs w:val="0"/>
          <w:sz w:val="24"/>
          <w:lang w:eastAsia="en-US"/>
        </w:rPr>
        <w:t xml:space="preserve">U stečajnom postupku društva Uljanik d.d. u stečaju, Ministarstvo financija je izvršilo prijeboj svoje tražbine na ime plaćenih državnih jamstava sa </w:t>
      </w:r>
      <w:proofErr w:type="spellStart"/>
      <w:r w:rsidRPr="00F4732E">
        <w:rPr>
          <w:rFonts w:eastAsia="Calibri"/>
          <w:b w:val="0"/>
          <w:bCs w:val="0"/>
          <w:sz w:val="24"/>
          <w:lang w:eastAsia="en-US"/>
        </w:rPr>
        <w:t>protutražbinom</w:t>
      </w:r>
      <w:proofErr w:type="spellEnd"/>
      <w:r w:rsidRPr="00F4732E">
        <w:rPr>
          <w:rFonts w:eastAsia="Calibri"/>
          <w:b w:val="0"/>
          <w:bCs w:val="0"/>
          <w:sz w:val="24"/>
          <w:lang w:eastAsia="en-US"/>
        </w:rPr>
        <w:t xml:space="preserve"> Uljanika d.d. u stečaju po osnovu cijene u visini utvrđene vrijednosti broda u gradnji Uljanik 531 u iznosu od 72.374.569,20 k</w:t>
      </w:r>
      <w:r w:rsidR="00F44758">
        <w:rPr>
          <w:rFonts w:eastAsia="Calibri"/>
          <w:b w:val="0"/>
          <w:bCs w:val="0"/>
          <w:sz w:val="24"/>
          <w:lang w:eastAsia="en-US"/>
        </w:rPr>
        <w:t>u</w:t>
      </w:r>
      <w:r w:rsidRPr="00F4732E">
        <w:rPr>
          <w:rFonts w:eastAsia="Calibri"/>
          <w:b w:val="0"/>
          <w:bCs w:val="0"/>
          <w:sz w:val="24"/>
          <w:lang w:eastAsia="en-US"/>
        </w:rPr>
        <w:t>n</w:t>
      </w:r>
      <w:r w:rsidR="00F44758">
        <w:rPr>
          <w:rFonts w:eastAsia="Calibri"/>
          <w:b w:val="0"/>
          <w:bCs w:val="0"/>
          <w:sz w:val="24"/>
          <w:lang w:eastAsia="en-US"/>
        </w:rPr>
        <w:t>a</w:t>
      </w:r>
      <w:r w:rsidRPr="00F4732E">
        <w:rPr>
          <w:rFonts w:eastAsia="Calibri"/>
          <w:b w:val="0"/>
          <w:bCs w:val="0"/>
          <w:sz w:val="24"/>
          <w:lang w:eastAsia="en-US"/>
        </w:rPr>
        <w:t>. Trgovački sud u Pazinu, dana 5. svibnja 2021., donio je rješenje o dosudi broda u gradnji Uljanik 531 Republici Hrvatskoj, Ministarstvu financija, što je evidentirano u 2021. godini.</w:t>
      </w:r>
    </w:p>
    <w:p w14:paraId="4F7CD1B0" w14:textId="77777777" w:rsidR="005A7E92" w:rsidRPr="00F4732E" w:rsidRDefault="005A7E92" w:rsidP="005A7E92">
      <w:pPr>
        <w:pStyle w:val="Naslov"/>
        <w:keepNext/>
        <w:jc w:val="both"/>
        <w:rPr>
          <w:rFonts w:eastAsia="Calibri"/>
          <w:b w:val="0"/>
          <w:bCs w:val="0"/>
          <w:sz w:val="24"/>
          <w:lang w:eastAsia="en-US"/>
        </w:rPr>
      </w:pPr>
    </w:p>
    <w:p w14:paraId="0948B6A6" w14:textId="647B336F" w:rsidR="005A7E92" w:rsidRDefault="005A7E92" w:rsidP="005A7E92">
      <w:pPr>
        <w:pStyle w:val="Naslov"/>
        <w:keepNext/>
        <w:jc w:val="both"/>
        <w:rPr>
          <w:rFonts w:eastAsia="Calibri"/>
          <w:b w:val="0"/>
          <w:bCs w:val="0"/>
          <w:sz w:val="24"/>
          <w:lang w:eastAsia="en-US"/>
        </w:rPr>
      </w:pPr>
      <w:r w:rsidRPr="00F4732E">
        <w:rPr>
          <w:rFonts w:eastAsia="Calibri"/>
          <w:b w:val="0"/>
          <w:bCs w:val="0"/>
          <w:sz w:val="24"/>
          <w:lang w:eastAsia="en-US"/>
        </w:rPr>
        <w:t xml:space="preserve">U 2020. godini evidentirani su rashodi za nabavu prijevoznih sredstava u pomorskom i riječnom prometu u iznosu od 142.141.173 </w:t>
      </w:r>
      <w:r w:rsidRPr="00F4732E">
        <w:rPr>
          <w:b w:val="0"/>
          <w:bCs w:val="0"/>
          <w:sz w:val="24"/>
        </w:rPr>
        <w:t>kuna</w:t>
      </w:r>
      <w:r w:rsidRPr="00F4732E">
        <w:rPr>
          <w:rFonts w:eastAsia="Calibri"/>
          <w:b w:val="0"/>
          <w:bCs w:val="0"/>
          <w:sz w:val="24"/>
          <w:lang w:eastAsia="en-US"/>
        </w:rPr>
        <w:t xml:space="preserve">. Vlada Republike Hrvatske na sjednici održanoj 29. listopada 2020. donijela je Zaključak </w:t>
      </w:r>
      <w:r w:rsidR="00810733" w:rsidRPr="00F4732E">
        <w:rPr>
          <w:rFonts w:eastAsia="Calibri"/>
          <w:b w:val="0"/>
          <w:bCs w:val="0"/>
          <w:sz w:val="24"/>
          <w:lang w:eastAsia="en-US"/>
        </w:rPr>
        <w:t>KLASA</w:t>
      </w:r>
      <w:r w:rsidRPr="00F4732E">
        <w:rPr>
          <w:rFonts w:eastAsia="Calibri"/>
          <w:b w:val="0"/>
          <w:bCs w:val="0"/>
          <w:sz w:val="24"/>
          <w:lang w:eastAsia="en-US"/>
        </w:rPr>
        <w:t>:</w:t>
      </w:r>
      <w:r w:rsidR="00810733">
        <w:rPr>
          <w:rFonts w:eastAsia="Calibri"/>
          <w:b w:val="0"/>
          <w:bCs w:val="0"/>
          <w:sz w:val="24"/>
          <w:lang w:eastAsia="en-US"/>
        </w:rPr>
        <w:t xml:space="preserve"> </w:t>
      </w:r>
      <w:r w:rsidRPr="00F4732E">
        <w:rPr>
          <w:rFonts w:eastAsia="Calibri"/>
          <w:b w:val="0"/>
          <w:bCs w:val="0"/>
          <w:sz w:val="24"/>
          <w:lang w:eastAsia="en-US"/>
        </w:rPr>
        <w:t xml:space="preserve">022-03/20-07/306, </w:t>
      </w:r>
      <w:r w:rsidR="00810733" w:rsidRPr="00F4732E">
        <w:rPr>
          <w:rFonts w:eastAsia="Calibri"/>
          <w:b w:val="0"/>
          <w:bCs w:val="0"/>
          <w:sz w:val="24"/>
          <w:lang w:eastAsia="en-US"/>
        </w:rPr>
        <w:t>URBROJ</w:t>
      </w:r>
      <w:r w:rsidRPr="00F4732E">
        <w:rPr>
          <w:rFonts w:eastAsia="Calibri"/>
          <w:b w:val="0"/>
          <w:bCs w:val="0"/>
          <w:sz w:val="24"/>
          <w:lang w:eastAsia="en-US"/>
        </w:rPr>
        <w:t>:</w:t>
      </w:r>
      <w:r w:rsidR="00810733">
        <w:rPr>
          <w:rFonts w:eastAsia="Calibri"/>
          <w:b w:val="0"/>
          <w:bCs w:val="0"/>
          <w:sz w:val="24"/>
          <w:lang w:eastAsia="en-US"/>
        </w:rPr>
        <w:t xml:space="preserve"> </w:t>
      </w:r>
      <w:r w:rsidRPr="00F4732E">
        <w:rPr>
          <w:rFonts w:eastAsia="Calibri"/>
          <w:b w:val="0"/>
          <w:bCs w:val="0"/>
          <w:sz w:val="24"/>
          <w:lang w:eastAsia="en-US"/>
        </w:rPr>
        <w:t xml:space="preserve">50301-05/27-20-2 kojim je zadužila Ministarstvo financija da sudjeluje u elektroničkoj javnoj dražbi koju provodi Financijska agencija od 12. kolovoza 2020. do 3. studenog 2020., preda ponudu za kupnju broda Nov. 514 kao dijela stečajne mase društva Uljanik d.d. u stečaju, Pula, ponudi početnu cijenu od 142.141.173,00 kuna i eventualno licitira do maksimalnog iznosa svojih potraživanja od 174.285.865,34 kune, kupi brod Nov. 514 i prenese Ministarstvu prostornog uređenja, graditeljstva i državne imovine na upravljanje. S tim u vezi, Rješenjem Trgovačkog suda u Pazinu Broj: 1 St-95/2019-407 od 10. studenog 2020. godine, kupcu Republici Hrvatskoj, Ministarstvu financija, dosuđen je brod u gradnji ULJANIK 514, za iznos od 142.141.172,80 kuna. Temeljem istog Rješenja, Ministarstvo financija je dana 30. studenoga 2020. godine uplatilo puni iznos </w:t>
      </w:r>
      <w:proofErr w:type="spellStart"/>
      <w:r w:rsidRPr="00F4732E">
        <w:rPr>
          <w:rFonts w:eastAsia="Calibri"/>
          <w:b w:val="0"/>
          <w:bCs w:val="0"/>
          <w:sz w:val="24"/>
          <w:lang w:eastAsia="en-US"/>
        </w:rPr>
        <w:t>kupovnine</w:t>
      </w:r>
      <w:proofErr w:type="spellEnd"/>
      <w:r w:rsidRPr="00F4732E">
        <w:rPr>
          <w:rFonts w:eastAsia="Calibri"/>
          <w:b w:val="0"/>
          <w:bCs w:val="0"/>
          <w:sz w:val="24"/>
          <w:lang w:eastAsia="en-US"/>
        </w:rPr>
        <w:t xml:space="preserve"> te je dana 7. prosinca 2020. godine Trgovački sud u Pazinu donio Zaključak o predaji broda u gradnji ULJANIK 514 Republici Hrvatskoj, Ministarstvu financija.</w:t>
      </w:r>
    </w:p>
    <w:p w14:paraId="1C456674" w14:textId="2D879B0E" w:rsidR="007E341F" w:rsidRDefault="007E341F" w:rsidP="005A7E92">
      <w:pPr>
        <w:pStyle w:val="Naslov"/>
        <w:keepNext/>
        <w:jc w:val="both"/>
        <w:rPr>
          <w:rFonts w:eastAsia="Calibri"/>
          <w:b w:val="0"/>
          <w:bCs w:val="0"/>
          <w:sz w:val="24"/>
          <w:lang w:eastAsia="en-US"/>
        </w:rPr>
      </w:pPr>
    </w:p>
    <w:p w14:paraId="46543FC1" w14:textId="4EA3CF28" w:rsidR="007E341F" w:rsidRPr="00F4732E" w:rsidRDefault="007E341F" w:rsidP="007E341F">
      <w:pPr>
        <w:pStyle w:val="Naslov"/>
        <w:keepNext/>
        <w:rPr>
          <w:b w:val="0"/>
          <w:bCs w:val="0"/>
        </w:rPr>
      </w:pPr>
      <w:r w:rsidRPr="00F4732E">
        <w:rPr>
          <w:b w:val="0"/>
          <w:bCs w:val="0"/>
        </w:rPr>
        <w:t>Bilješka</w:t>
      </w:r>
      <w:r w:rsidR="00F4732E" w:rsidRPr="00F4732E">
        <w:rPr>
          <w:b w:val="0"/>
          <w:bCs w:val="0"/>
        </w:rPr>
        <w:t xml:space="preserve"> 32.</w:t>
      </w:r>
    </w:p>
    <w:p w14:paraId="42393A70" w14:textId="389FBF8D" w:rsidR="007E341F" w:rsidRPr="00F4732E" w:rsidRDefault="007E341F" w:rsidP="007E341F">
      <w:pPr>
        <w:pStyle w:val="Naslov"/>
        <w:keepNext/>
        <w:rPr>
          <w:b w:val="0"/>
          <w:bCs w:val="0"/>
        </w:rPr>
      </w:pPr>
      <w:r w:rsidRPr="00F4732E">
        <w:rPr>
          <w:b w:val="0"/>
          <w:bCs w:val="0"/>
        </w:rPr>
        <w:t>AOP 387</w:t>
      </w:r>
      <w:r w:rsidR="00F4732E" w:rsidRPr="00F4732E">
        <w:rPr>
          <w:b w:val="0"/>
          <w:bCs w:val="0"/>
        </w:rPr>
        <w:t xml:space="preserve"> Ulaganja u računalne programe</w:t>
      </w:r>
    </w:p>
    <w:p w14:paraId="0F45464F" w14:textId="5D706FC6" w:rsidR="007E341F" w:rsidRPr="00F4732E" w:rsidRDefault="007E341F" w:rsidP="005A7E92">
      <w:pPr>
        <w:pStyle w:val="Naslov"/>
        <w:keepNext/>
        <w:jc w:val="both"/>
        <w:rPr>
          <w:rFonts w:eastAsia="Calibri"/>
          <w:b w:val="0"/>
          <w:bCs w:val="0"/>
          <w:sz w:val="24"/>
          <w:lang w:eastAsia="en-US"/>
        </w:rPr>
      </w:pPr>
      <w:r w:rsidRPr="00F4732E">
        <w:rPr>
          <w:rFonts w:eastAsia="Calibri"/>
          <w:b w:val="0"/>
          <w:bCs w:val="0"/>
          <w:sz w:val="24"/>
          <w:lang w:eastAsia="en-US"/>
        </w:rPr>
        <w:t>U 2021. godini u okviru rashoda za ulaganja u računalne programe evidentirano je 248.125 kuna, uslugu razvoja programskog rješenja Zavoda za makroekonomske i fiskalne analize i projekcije za CGG knjigu, odnosno za pregled prihoda i rashoda, primitaka i izdataka po sektorima opće države, kao i njihovu automatizaciju.</w:t>
      </w:r>
    </w:p>
    <w:p w14:paraId="2F2FD10B" w14:textId="77777777" w:rsidR="005A7E92" w:rsidRPr="00F4732E" w:rsidRDefault="005A7E92" w:rsidP="005A7E92">
      <w:pPr>
        <w:pStyle w:val="Naslov"/>
        <w:keepNext/>
        <w:jc w:val="both"/>
        <w:rPr>
          <w:rFonts w:eastAsia="Calibri"/>
          <w:b w:val="0"/>
          <w:bCs w:val="0"/>
          <w:sz w:val="24"/>
          <w:lang w:eastAsia="en-US"/>
        </w:rPr>
      </w:pPr>
    </w:p>
    <w:p w14:paraId="331ABB7A" w14:textId="29A0D81E" w:rsidR="00BB7271" w:rsidRPr="00F4732E" w:rsidRDefault="00F4732E" w:rsidP="00BB7271">
      <w:pPr>
        <w:pStyle w:val="Naslov"/>
        <w:keepNext/>
        <w:rPr>
          <w:b w:val="0"/>
          <w:bCs w:val="0"/>
        </w:rPr>
      </w:pPr>
      <w:r>
        <w:rPr>
          <w:b w:val="0"/>
          <w:bCs w:val="0"/>
        </w:rPr>
        <w:t>Bilješka 33</w:t>
      </w:r>
      <w:r w:rsidR="00BB7271" w:rsidRPr="00F4732E">
        <w:rPr>
          <w:b w:val="0"/>
          <w:bCs w:val="0"/>
        </w:rPr>
        <w:t>.</w:t>
      </w:r>
    </w:p>
    <w:p w14:paraId="23970D7D" w14:textId="77777777" w:rsidR="00BB7271" w:rsidRPr="00F4732E" w:rsidRDefault="00BB7271" w:rsidP="00BB7271">
      <w:pPr>
        <w:pStyle w:val="Naslov"/>
        <w:keepNext/>
        <w:rPr>
          <w:b w:val="0"/>
        </w:rPr>
      </w:pPr>
      <w:r w:rsidRPr="00F4732E">
        <w:rPr>
          <w:b w:val="0"/>
        </w:rPr>
        <w:t xml:space="preserve">AOP 413 Primici od financijske imovine i zaduživanja </w:t>
      </w:r>
    </w:p>
    <w:p w14:paraId="74ED49E7" w14:textId="2159A5F8" w:rsidR="00BB7271" w:rsidRPr="00F4732E" w:rsidRDefault="00BB7271" w:rsidP="00BB7271">
      <w:pPr>
        <w:jc w:val="both"/>
      </w:pPr>
      <w:r w:rsidRPr="00F4732E">
        <w:t xml:space="preserve">Na AOP-u 413 Primici od financijske imovine i zaduživanja u 2021. godini iskazan je iznos od 37.850.895.422 </w:t>
      </w:r>
      <w:r w:rsidRPr="00F4732E">
        <w:rPr>
          <w:bCs/>
        </w:rPr>
        <w:t>kune</w:t>
      </w:r>
      <w:r w:rsidRPr="00F4732E">
        <w:t xml:space="preserve"> koji </w:t>
      </w:r>
      <w:r w:rsidR="009F1B2E" w:rsidRPr="00F4732E">
        <w:t>predstavlja</w:t>
      </w:r>
      <w:r w:rsidRPr="00F4732E">
        <w:t xml:space="preserve"> naplaćene primitke od financijske imovine i zaduživanja. U </w:t>
      </w:r>
      <w:r w:rsidRPr="00F4732E">
        <w:lastRenderedPageBreak/>
        <w:t xml:space="preserve">odnosu na 2020. godinu u kojoj je ostvareno 61.651.913.554 </w:t>
      </w:r>
      <w:r w:rsidRPr="00F4732E">
        <w:rPr>
          <w:bCs/>
        </w:rPr>
        <w:t>kuna</w:t>
      </w:r>
      <w:r w:rsidR="009F1B2E" w:rsidRPr="00F4732E">
        <w:rPr>
          <w:bCs/>
        </w:rPr>
        <w:t>,</w:t>
      </w:r>
      <w:r w:rsidRPr="00F4732E">
        <w:t xml:space="preserve"> iskazano je smanjenje od 38,6%. </w:t>
      </w:r>
    </w:p>
    <w:p w14:paraId="4E39066C" w14:textId="77777777" w:rsidR="00BB7271" w:rsidRPr="00F4732E" w:rsidRDefault="00BB7271" w:rsidP="00BB7271">
      <w:pPr>
        <w:jc w:val="both"/>
      </w:pPr>
    </w:p>
    <w:p w14:paraId="7CB83F76" w14:textId="59175CC2" w:rsidR="00BB7271" w:rsidRPr="00F4732E" w:rsidRDefault="00F4732E" w:rsidP="00BB7271">
      <w:pPr>
        <w:keepNext/>
        <w:jc w:val="center"/>
        <w:rPr>
          <w:sz w:val="28"/>
        </w:rPr>
      </w:pPr>
      <w:r w:rsidRPr="00F4732E">
        <w:rPr>
          <w:sz w:val="28"/>
        </w:rPr>
        <w:t>Bilješka 34</w:t>
      </w:r>
      <w:r w:rsidR="00BB7271" w:rsidRPr="00F4732E">
        <w:rPr>
          <w:sz w:val="28"/>
        </w:rPr>
        <w:t>.</w:t>
      </w:r>
    </w:p>
    <w:p w14:paraId="781C25B1" w14:textId="15E6DA91" w:rsidR="00BB7271" w:rsidRPr="00F4732E" w:rsidRDefault="00BB7271" w:rsidP="00F4732E">
      <w:pPr>
        <w:keepNext/>
        <w:jc w:val="center"/>
        <w:rPr>
          <w:sz w:val="28"/>
        </w:rPr>
      </w:pPr>
      <w:r w:rsidRPr="00F4732E">
        <w:rPr>
          <w:sz w:val="28"/>
        </w:rPr>
        <w:t>AOP 436 Povrat zajmova danih tuzemnim trgovačkim društvima izvan javnog sektora</w:t>
      </w:r>
    </w:p>
    <w:p w14:paraId="6ADEFD6C" w14:textId="1D4724C6" w:rsidR="00BB7271" w:rsidRDefault="00BB7271" w:rsidP="00BB7271">
      <w:pPr>
        <w:jc w:val="both"/>
      </w:pPr>
      <w:r w:rsidRPr="00F4732E">
        <w:t xml:space="preserve">Primici od povrat zajmova danih tuzemnim trgovačkim društvima izvan javnog sektora u 2021. su ostvareni u iznosu od 121.853.289 kuna, odnosno za 101,8% više od ostvarenja 2020. godine. Najznačajnija transakcija u okviru navedenog primitka odnosi se na primitak od prodaje broda u </w:t>
      </w:r>
      <w:proofErr w:type="spellStart"/>
      <w:r w:rsidRPr="00F4732E">
        <w:t>predstečajnom</w:t>
      </w:r>
      <w:proofErr w:type="spellEnd"/>
      <w:r w:rsidRPr="00F4732E">
        <w:t xml:space="preserve"> postupku društva </w:t>
      </w:r>
      <w:proofErr w:type="spellStart"/>
      <w:r w:rsidRPr="00F4732E">
        <w:t>Alpha</w:t>
      </w:r>
      <w:proofErr w:type="spellEnd"/>
      <w:r w:rsidRPr="00F4732E">
        <w:t xml:space="preserve"> Adriatic d.d. (ranije Uljanik plovidba d.d.) u iznosu od 76.754.405,60 kuna.</w:t>
      </w:r>
    </w:p>
    <w:p w14:paraId="4D5A91C0" w14:textId="651740E2" w:rsidR="00BB7271" w:rsidRDefault="00BB7271" w:rsidP="00BB7271">
      <w:pPr>
        <w:jc w:val="both"/>
      </w:pPr>
    </w:p>
    <w:p w14:paraId="48211A68" w14:textId="27D1877D" w:rsidR="007E341F" w:rsidRDefault="007E341F" w:rsidP="00BB7271">
      <w:pPr>
        <w:jc w:val="both"/>
      </w:pPr>
    </w:p>
    <w:p w14:paraId="2C478BB8" w14:textId="5D8148AA" w:rsidR="007E341F" w:rsidRPr="00F4732E" w:rsidRDefault="007E341F" w:rsidP="00B94B64">
      <w:pPr>
        <w:keepNext/>
        <w:jc w:val="center"/>
        <w:rPr>
          <w:sz w:val="28"/>
        </w:rPr>
      </w:pPr>
      <w:r w:rsidRPr="00F4732E">
        <w:rPr>
          <w:sz w:val="28"/>
        </w:rPr>
        <w:t>Bilješka</w:t>
      </w:r>
      <w:r w:rsidR="00F4732E" w:rsidRPr="00F4732E">
        <w:rPr>
          <w:sz w:val="28"/>
        </w:rPr>
        <w:t xml:space="preserve"> 35.</w:t>
      </w:r>
    </w:p>
    <w:p w14:paraId="716DCB4B" w14:textId="05C57134" w:rsidR="007E341F" w:rsidRPr="00F4732E" w:rsidRDefault="007E341F" w:rsidP="00B94B64">
      <w:pPr>
        <w:keepNext/>
        <w:jc w:val="center"/>
        <w:rPr>
          <w:sz w:val="28"/>
        </w:rPr>
      </w:pPr>
      <w:r w:rsidRPr="00F4732E">
        <w:rPr>
          <w:sz w:val="28"/>
        </w:rPr>
        <w:t>AOP</w:t>
      </w:r>
      <w:r w:rsidR="00B94B64" w:rsidRPr="00F4732E">
        <w:rPr>
          <w:sz w:val="28"/>
        </w:rPr>
        <w:t xml:space="preserve"> 441 do 447 Povrat zajmova danih drugim razinama vlasti</w:t>
      </w:r>
    </w:p>
    <w:p w14:paraId="02949A82" w14:textId="0BCBB7A6" w:rsidR="00B94B64" w:rsidRPr="00F4732E" w:rsidRDefault="00B94B64" w:rsidP="009F1B2E">
      <w:pPr>
        <w:keepNext/>
        <w:jc w:val="both"/>
      </w:pPr>
      <w:r w:rsidRPr="00F4732E">
        <w:t xml:space="preserve">Povrati zajmova danih drugim razinama vlasti ostvareni su u 2021. </w:t>
      </w:r>
      <w:r w:rsidR="009F1B2E" w:rsidRPr="00F4732E">
        <w:t xml:space="preserve">godini u iznosu od </w:t>
      </w:r>
      <w:r w:rsidRPr="00F4732E">
        <w:t>435.987.817 kuna, odnosno za 73,3% više od ostvarenja u 2020.</w:t>
      </w:r>
    </w:p>
    <w:p w14:paraId="21511C45" w14:textId="77777777" w:rsidR="009F1B2E" w:rsidRPr="00F4732E" w:rsidRDefault="009F1B2E" w:rsidP="009F1B2E">
      <w:pPr>
        <w:keepNext/>
        <w:jc w:val="both"/>
      </w:pPr>
    </w:p>
    <w:p w14:paraId="1DE6F374" w14:textId="156C6A55" w:rsidR="00B94B64" w:rsidRPr="00F4732E" w:rsidRDefault="00B94B64" w:rsidP="00B94B64">
      <w:pPr>
        <w:keepNext/>
        <w:jc w:val="both"/>
      </w:pPr>
      <w:r w:rsidRPr="00F4732E">
        <w:t>U okviru primitaka od povrata zajmova danih županijskim proračunima, povrata zajmova danih gradskim proračunima i povrata zajmova danih općinskim proračunima najznačajniji iznosi u 2021. godini odnose se na povrate danih beskamatnih zajmova.</w:t>
      </w:r>
    </w:p>
    <w:p w14:paraId="7B37EAB5" w14:textId="77777777" w:rsidR="009F1B2E" w:rsidRPr="00F4732E" w:rsidRDefault="009F1B2E" w:rsidP="00B94B64">
      <w:pPr>
        <w:keepNext/>
        <w:jc w:val="both"/>
      </w:pPr>
    </w:p>
    <w:p w14:paraId="401673D8" w14:textId="6B803364" w:rsidR="00B94B64" w:rsidRPr="00F4732E" w:rsidRDefault="00B94B64" w:rsidP="00B94B64">
      <w:pPr>
        <w:keepNext/>
        <w:jc w:val="both"/>
      </w:pPr>
      <w:r w:rsidRPr="00F4732E">
        <w:t>U 2021. godini na AOP-u 442 iskazano je 38.090.692,80 k</w:t>
      </w:r>
      <w:r w:rsidR="00F44758">
        <w:t>u</w:t>
      </w:r>
      <w:r w:rsidRPr="00F4732E">
        <w:t>n</w:t>
      </w:r>
      <w:r w:rsidR="00F44758">
        <w:t>a</w:t>
      </w:r>
      <w:r w:rsidRPr="00F4732E">
        <w:t>, na AOP-u 443 115.554.810,31 k</w:t>
      </w:r>
      <w:r w:rsidR="00F44758">
        <w:t>u</w:t>
      </w:r>
      <w:r w:rsidRPr="00F4732E">
        <w:t>n</w:t>
      </w:r>
      <w:r w:rsidR="00F44758">
        <w:t>a i na AOP-u 444 9.622.575,09 kuna</w:t>
      </w:r>
      <w:r w:rsidRPr="00F4732E">
        <w:t xml:space="preserve"> temeljem povrata danih beskamatnih zajmova u 2020. godini te povrata namirenja nedostajućih sredstava namirenih jedinicama lokalne i područne (regionalne) samouprave u 2021. godini:</w:t>
      </w:r>
    </w:p>
    <w:p w14:paraId="386702FB" w14:textId="31E4F6A1" w:rsidR="00B94B64" w:rsidRPr="00F4732E" w:rsidRDefault="00B94B64" w:rsidP="009F1B2E">
      <w:pPr>
        <w:pStyle w:val="Odlomakpopisa"/>
        <w:keepNext/>
        <w:numPr>
          <w:ilvl w:val="0"/>
          <w:numId w:val="11"/>
        </w:numPr>
        <w:jc w:val="both"/>
      </w:pPr>
      <w:r w:rsidRPr="00F4732E">
        <w:t xml:space="preserve">s osnove odgode i/ili obročne otplate odnosno oslobođenja od plaćanja poreza na dohodak, prireza porezu na dohodak i doprinosa, izvršenog povrata preplaćenog poreza na dohodak i prireza porezu na dohodak po godišnjem obračunu za 2019. u skladu s Naputkom o načinu isplate beskamatnog zajma jedinicama lokalne i područne (regionalne) samouprave, Hrvatskom zavodu za mirovinsko osiguranje i Hrvatskom zavodu za zdravstveno osiguranje (Narodne novine, br. 46/20, 5/21 i 73/21) </w:t>
      </w:r>
    </w:p>
    <w:p w14:paraId="62EA2508" w14:textId="60091D52" w:rsidR="00B94B64" w:rsidRPr="00F4732E" w:rsidRDefault="00B94B64" w:rsidP="009F1B2E">
      <w:pPr>
        <w:pStyle w:val="Odlomakpopisa"/>
        <w:keepNext/>
        <w:numPr>
          <w:ilvl w:val="0"/>
          <w:numId w:val="11"/>
        </w:numPr>
        <w:jc w:val="both"/>
      </w:pPr>
      <w:r w:rsidRPr="00F4732E">
        <w:t>s osnove pada prihoda u 2020. godinu u odnosu na isto razdoblje 2019. u skladu s Naputkom o isplati sredstava beskamatnog zajma jedinicama lokalne i područne (regionalne) samouprave uslijed pada prihoda (Narodne novine, br. 130/20)</w:t>
      </w:r>
    </w:p>
    <w:p w14:paraId="48F68E9E" w14:textId="1E07F784" w:rsidR="00B94B64" w:rsidRPr="00F4732E" w:rsidRDefault="00B94B64" w:rsidP="009F1B2E">
      <w:pPr>
        <w:pStyle w:val="Odlomakpopisa"/>
        <w:keepNext/>
        <w:numPr>
          <w:ilvl w:val="0"/>
          <w:numId w:val="11"/>
        </w:numPr>
        <w:jc w:val="both"/>
      </w:pPr>
      <w:r w:rsidRPr="00F4732E">
        <w:t>te osnove namirenja nedostajućih sredstava korištenih za povrat po godišnjoj prijavi za 2020. godinu namirenih na teret jedinstvenog računa državnog proračuna u 2021. godini sukladno Naputku o načinu uplaćivanja prihoda proračuna, obveznih doprinosa te prihoda za financiranje drugih javnih potreba u 2021. godini (Narodne novine, br. 11/21, 49/21 i 73/21) (neto).</w:t>
      </w:r>
    </w:p>
    <w:p w14:paraId="728F1F21" w14:textId="6AD79DE5" w:rsidR="00B94B64" w:rsidRPr="00F4732E" w:rsidRDefault="00B94B64" w:rsidP="00B94B64">
      <w:pPr>
        <w:keepNext/>
        <w:jc w:val="both"/>
      </w:pPr>
    </w:p>
    <w:p w14:paraId="7113634A" w14:textId="22D89211" w:rsidR="009F1B2E" w:rsidRDefault="00B94B64" w:rsidP="009F1B2E">
      <w:pPr>
        <w:jc w:val="both"/>
      </w:pPr>
      <w:r w:rsidRPr="00F4732E">
        <w:t>U 2021. godini na AOP</w:t>
      </w:r>
      <w:r w:rsidR="00F44758">
        <w:t>-u 445 iskazano je 12.599.433 kuna</w:t>
      </w:r>
      <w:r w:rsidRPr="00F4732E">
        <w:t xml:space="preserve"> ostvarenih od povrata zajma danog u 2020. godini Hrvatskom zavodu za zdravstveno osiguranje po osnovi odgode i/ili obročne otplate odnosno oslobođenja od plaćanja doprinosa temeljem Naputka o načinu isplate beskamatnog zajma jedinicama lokalne i područne (regionalne) samouprave, Hrvatskom zavodu za mirovinsko osiguranje i Hrvatskom zav</w:t>
      </w:r>
      <w:r w:rsidR="009F1B2E" w:rsidRPr="00F4732E">
        <w:t xml:space="preserve">odu za zdravstveno osiguranje. </w:t>
      </w:r>
    </w:p>
    <w:p w14:paraId="696868AB" w14:textId="60A0E77D" w:rsidR="00CF385E" w:rsidRDefault="00CF385E" w:rsidP="009F1B2E">
      <w:pPr>
        <w:jc w:val="both"/>
      </w:pPr>
    </w:p>
    <w:p w14:paraId="17DD88CB" w14:textId="563A327A" w:rsidR="00CF385E" w:rsidRDefault="00CF385E" w:rsidP="009F1B2E">
      <w:pPr>
        <w:jc w:val="both"/>
      </w:pPr>
    </w:p>
    <w:p w14:paraId="11AF60F5" w14:textId="77777777" w:rsidR="00CF385E" w:rsidRPr="00F4732E" w:rsidRDefault="00CF385E" w:rsidP="009F1B2E">
      <w:pPr>
        <w:jc w:val="both"/>
      </w:pPr>
    </w:p>
    <w:p w14:paraId="0843903B" w14:textId="77777777" w:rsidR="009F1B2E" w:rsidRDefault="009F1B2E" w:rsidP="009F1B2E">
      <w:pPr>
        <w:jc w:val="both"/>
        <w:rPr>
          <w:highlight w:val="yellow"/>
        </w:rPr>
      </w:pPr>
    </w:p>
    <w:p w14:paraId="4E89D8DF" w14:textId="5C254764" w:rsidR="009F1B2E" w:rsidRPr="005E2FA3" w:rsidRDefault="005E2FA3" w:rsidP="009F1B2E">
      <w:pPr>
        <w:jc w:val="center"/>
        <w:rPr>
          <w:sz w:val="28"/>
          <w:szCs w:val="28"/>
        </w:rPr>
      </w:pPr>
      <w:r w:rsidRPr="005E2FA3">
        <w:rPr>
          <w:sz w:val="28"/>
          <w:szCs w:val="28"/>
        </w:rPr>
        <w:lastRenderedPageBreak/>
        <w:t>Bilješka 36</w:t>
      </w:r>
      <w:r w:rsidR="00BB7271" w:rsidRPr="005E2FA3">
        <w:rPr>
          <w:sz w:val="28"/>
          <w:szCs w:val="28"/>
        </w:rPr>
        <w:t>.</w:t>
      </w:r>
    </w:p>
    <w:p w14:paraId="5835EAC9" w14:textId="77777777" w:rsidR="009F1B2E" w:rsidRPr="005E2FA3" w:rsidRDefault="00BB7271" w:rsidP="009F1B2E">
      <w:pPr>
        <w:jc w:val="center"/>
        <w:rPr>
          <w:sz w:val="28"/>
          <w:szCs w:val="28"/>
        </w:rPr>
      </w:pPr>
      <w:r w:rsidRPr="005E2FA3">
        <w:rPr>
          <w:sz w:val="28"/>
          <w:szCs w:val="28"/>
        </w:rPr>
        <w:t>AOP 449 Primici od povrata depozita od kreditnih i ostalih financijskih institucija – tuzemni</w:t>
      </w:r>
    </w:p>
    <w:p w14:paraId="4CA2A52D" w14:textId="435751A9" w:rsidR="00D42A73" w:rsidRDefault="00BB7271" w:rsidP="009F1B2E">
      <w:pPr>
        <w:jc w:val="both"/>
      </w:pPr>
      <w:r w:rsidRPr="005E2FA3">
        <w:t>U 2021.</w:t>
      </w:r>
      <w:r w:rsidR="00D460BC">
        <w:t xml:space="preserve"> </w:t>
      </w:r>
      <w:r w:rsidRPr="005E2FA3">
        <w:t>evidentiran je pad primitaka od povrata depozita od kreditnih i ostalih financijskih institucija – tuzemnih u odnosu na 2020. godinu za 93,3%</w:t>
      </w:r>
      <w:r w:rsidR="009F1B2E" w:rsidRPr="005E2FA3">
        <w:t>.</w:t>
      </w:r>
      <w:r w:rsidR="00D42A73">
        <w:t xml:space="preserve"> </w:t>
      </w:r>
      <w:r w:rsidRPr="005E2FA3">
        <w:t xml:space="preserve">U 2021. ostvareno je 65,4 </w:t>
      </w:r>
      <w:r w:rsidR="00702001" w:rsidRPr="005E2FA3">
        <w:t>milijuna</w:t>
      </w:r>
      <w:r w:rsidRPr="005E2FA3">
        <w:t xml:space="preserve"> kuna primitaka od povrata oročenog depozita u Hrvatskoj narodnoj banci iz 2020.</w:t>
      </w:r>
      <w:r w:rsidR="00D42A73">
        <w:t xml:space="preserve"> </w:t>
      </w:r>
      <w:r w:rsidRPr="005E2FA3">
        <w:t>godine.</w:t>
      </w:r>
      <w:r w:rsidR="00D42A73">
        <w:t xml:space="preserve"> </w:t>
      </w:r>
    </w:p>
    <w:p w14:paraId="449A53AE" w14:textId="77777777" w:rsidR="00D42A73" w:rsidRDefault="00D42A73" w:rsidP="009F1B2E">
      <w:pPr>
        <w:jc w:val="both"/>
      </w:pPr>
    </w:p>
    <w:p w14:paraId="6A108991" w14:textId="2BF0813A" w:rsidR="00BB7271" w:rsidRPr="005E2FA3" w:rsidRDefault="00BB7271" w:rsidP="009F1B2E">
      <w:pPr>
        <w:jc w:val="both"/>
      </w:pPr>
      <w:r w:rsidRPr="005E2FA3">
        <w:t xml:space="preserve">U 2020. godini ostvareno je 2,3 milijardi kuna primitaka od povrata depozita od kreditnih i ostalih financijskih institucija, a koje se odnose na </w:t>
      </w:r>
      <w:proofErr w:type="spellStart"/>
      <w:r w:rsidRPr="005E2FA3">
        <w:t>razročenje</w:t>
      </w:r>
      <w:proofErr w:type="spellEnd"/>
      <w:r w:rsidRPr="005E2FA3">
        <w:t xml:space="preserve"> sredstava iz 2019. u Zagrebačkoj banci d.d.</w:t>
      </w:r>
    </w:p>
    <w:p w14:paraId="1A343EF4" w14:textId="5FB9ED71" w:rsidR="00636679" w:rsidRPr="005E2FA3" w:rsidRDefault="00636679" w:rsidP="00BB7271">
      <w:pPr>
        <w:pStyle w:val="Naslov"/>
        <w:keepNext/>
        <w:jc w:val="both"/>
        <w:rPr>
          <w:b w:val="0"/>
          <w:sz w:val="24"/>
        </w:rPr>
      </w:pPr>
    </w:p>
    <w:p w14:paraId="7AD70195" w14:textId="7A0F165B" w:rsidR="00636679" w:rsidRPr="005E2FA3" w:rsidRDefault="00636679" w:rsidP="00636679">
      <w:pPr>
        <w:keepNext/>
        <w:jc w:val="center"/>
        <w:rPr>
          <w:sz w:val="28"/>
        </w:rPr>
      </w:pPr>
      <w:r w:rsidRPr="005E2FA3">
        <w:rPr>
          <w:sz w:val="28"/>
        </w:rPr>
        <w:t>Bilješka</w:t>
      </w:r>
      <w:r w:rsidR="005E2FA3" w:rsidRPr="005E2FA3">
        <w:rPr>
          <w:sz w:val="28"/>
        </w:rPr>
        <w:t xml:space="preserve"> 37.</w:t>
      </w:r>
    </w:p>
    <w:p w14:paraId="02179F26" w14:textId="25DE38E8" w:rsidR="00636679" w:rsidRPr="005E2FA3" w:rsidRDefault="00636679" w:rsidP="00636679">
      <w:pPr>
        <w:keepNext/>
        <w:jc w:val="center"/>
        <w:rPr>
          <w:sz w:val="28"/>
        </w:rPr>
      </w:pPr>
      <w:r w:rsidRPr="005E2FA3">
        <w:rPr>
          <w:sz w:val="28"/>
        </w:rPr>
        <w:t>AOP 454 Trezorski zapisi – tuzemni</w:t>
      </w:r>
    </w:p>
    <w:p w14:paraId="58852A10" w14:textId="1EF91D79" w:rsidR="00163A0E" w:rsidRDefault="00163A0E" w:rsidP="00D42A73">
      <w:pPr>
        <w:shd w:val="clear" w:color="auto" w:fill="FFFFFF"/>
        <w:jc w:val="both"/>
        <w:rPr>
          <w:color w:val="000000"/>
        </w:rPr>
      </w:pPr>
      <w:r w:rsidRPr="005E2FA3">
        <w:rPr>
          <w:color w:val="000000"/>
        </w:rPr>
        <w:t xml:space="preserve">Primici od tuzemnih trezorskih zapisa ostvareni su u 2021. godini u iznosu od 907.376.250 kuna. </w:t>
      </w:r>
      <w:r w:rsidR="00D42A73">
        <w:rPr>
          <w:color w:val="000000"/>
        </w:rPr>
        <w:t xml:space="preserve"> </w:t>
      </w:r>
      <w:r w:rsidRPr="005E2FA3">
        <w:rPr>
          <w:color w:val="000000"/>
        </w:rPr>
        <w:t>Tijekom 2021. godine održano je 14 aukcija trezorskih zapisa na kojima je bilo ukupno 15 izdanja, od čega 12 kunskih izdanja, 2 izdanja trezorskih zapisa izraženih u eurima, a plativih u kunama te 1 izdanje FX trezorskih zapisa, izraženih i plativih u eurima. Kod kunskih izdanja trezorskih zapisa 1 izdanje je bilo s rokom dospijeća od 182 dana te 11 izdanja s rokom dospijeća od 364 dana.</w:t>
      </w:r>
    </w:p>
    <w:p w14:paraId="612A7249" w14:textId="77777777" w:rsidR="00163A0E" w:rsidRDefault="00163A0E" w:rsidP="00163A0E">
      <w:pPr>
        <w:shd w:val="clear" w:color="auto" w:fill="FFFFFF"/>
        <w:jc w:val="center"/>
        <w:rPr>
          <w:color w:val="000000"/>
        </w:rPr>
      </w:pPr>
    </w:p>
    <w:p w14:paraId="60034E07" w14:textId="4DE70EC4" w:rsidR="00BB7271" w:rsidRPr="005E2FA3" w:rsidRDefault="005E2FA3" w:rsidP="00BB7271">
      <w:pPr>
        <w:keepNext/>
        <w:jc w:val="center"/>
        <w:rPr>
          <w:sz w:val="28"/>
        </w:rPr>
      </w:pPr>
      <w:r w:rsidRPr="005E2FA3">
        <w:rPr>
          <w:sz w:val="28"/>
        </w:rPr>
        <w:t>Bilješka 38</w:t>
      </w:r>
      <w:r w:rsidR="00BB7271" w:rsidRPr="005E2FA3">
        <w:rPr>
          <w:sz w:val="28"/>
        </w:rPr>
        <w:t>.</w:t>
      </w:r>
    </w:p>
    <w:p w14:paraId="645DBF9A" w14:textId="0603A68F" w:rsidR="00BB7271" w:rsidRPr="005E2FA3" w:rsidRDefault="00BB7271" w:rsidP="00E31808">
      <w:pPr>
        <w:jc w:val="center"/>
        <w:rPr>
          <w:sz w:val="28"/>
          <w:szCs w:val="28"/>
        </w:rPr>
      </w:pPr>
      <w:r w:rsidRPr="005E2FA3">
        <w:rPr>
          <w:sz w:val="28"/>
          <w:szCs w:val="28"/>
        </w:rPr>
        <w:t>AOP 456 do AOP 458 Obveznice</w:t>
      </w:r>
    </w:p>
    <w:p w14:paraId="2D675A20" w14:textId="53CDA583" w:rsidR="00E31808" w:rsidRPr="005E2FA3" w:rsidRDefault="00E31808" w:rsidP="00E31808">
      <w:pPr>
        <w:shd w:val="clear" w:color="auto" w:fill="FFFFFF"/>
        <w:jc w:val="both"/>
        <w:rPr>
          <w:color w:val="000000"/>
        </w:rPr>
      </w:pPr>
      <w:r w:rsidRPr="005E2FA3">
        <w:rPr>
          <w:color w:val="000000"/>
        </w:rPr>
        <w:t>Ostvareni primici s osnove tuzemnih obveznica u 2021. godini su ostvareni u iznosu od 9 milijardi kuna, što predstavlja smanjenje primitaka za 70,9% u odnosu na 2020. godinu.</w:t>
      </w:r>
    </w:p>
    <w:p w14:paraId="135378CC" w14:textId="77777777" w:rsidR="00E31808" w:rsidRPr="005E2FA3" w:rsidRDefault="00E31808" w:rsidP="00E31808">
      <w:pPr>
        <w:shd w:val="clear" w:color="auto" w:fill="FFFFFF"/>
        <w:jc w:val="both"/>
        <w:rPr>
          <w:color w:val="000000"/>
        </w:rPr>
      </w:pPr>
    </w:p>
    <w:p w14:paraId="627607DE" w14:textId="5BE88853" w:rsidR="00E31808" w:rsidRPr="005E2FA3" w:rsidRDefault="00E31808" w:rsidP="00E31808">
      <w:pPr>
        <w:shd w:val="clear" w:color="auto" w:fill="FFFFFF"/>
        <w:jc w:val="both"/>
        <w:rPr>
          <w:color w:val="000000"/>
        </w:rPr>
      </w:pPr>
      <w:r w:rsidRPr="005E2FA3">
        <w:rPr>
          <w:color w:val="000000"/>
        </w:rPr>
        <w:t>Republika Hrvatska zastupana po Ministarstvu financija je 30. lipnja 2021. godine donijela odluku o izdanju obveznica uz plasman na domaćem tržištu kapitala u iznosu od 9 milijardi kuna. Obveznice su izdane po cijeni 99,774% nominalnog iznosa. Uplata po ovim obveznicama je 5. srpnja 2021. godi</w:t>
      </w:r>
      <w:r w:rsidR="00F44758">
        <w:rPr>
          <w:color w:val="000000"/>
        </w:rPr>
        <w:t xml:space="preserve">ne, a dospijeće obveznica je 5. </w:t>
      </w:r>
      <w:r w:rsidRPr="005E2FA3">
        <w:rPr>
          <w:color w:val="000000"/>
        </w:rPr>
        <w:t>srpnja 2028. godine. Kamatni kupon je nepromjenjiv i iznosi 0,50%, a isplaćivat će se polugodišnje. Sredstva ostvarena ovim zaduženjem koristila su se, između ostalog, za otplatu iznosa 6 milijardi kuna obveznica koje su dospjele 8. srpnja 2021. godine. Ova petogodišnja obveznica izdana je u srpnju 2016. godine uz nepromjenjivi kamatni kupon 2,75% godišnje.</w:t>
      </w:r>
    </w:p>
    <w:p w14:paraId="2BCF93DD" w14:textId="77777777" w:rsidR="00E31808" w:rsidRPr="005E2FA3" w:rsidRDefault="00E31808" w:rsidP="00E31808">
      <w:pPr>
        <w:shd w:val="clear" w:color="auto" w:fill="FFFFFF"/>
        <w:jc w:val="both"/>
        <w:rPr>
          <w:color w:val="000000"/>
        </w:rPr>
      </w:pPr>
    </w:p>
    <w:p w14:paraId="306AB405" w14:textId="6A53C871" w:rsidR="00E31808" w:rsidRPr="005E2FA3" w:rsidRDefault="00E31808" w:rsidP="00E31808">
      <w:pPr>
        <w:shd w:val="clear" w:color="auto" w:fill="FFFFFF"/>
        <w:jc w:val="both"/>
        <w:rPr>
          <w:color w:val="000000"/>
        </w:rPr>
      </w:pPr>
      <w:r w:rsidRPr="005E2FA3">
        <w:rPr>
          <w:color w:val="000000"/>
        </w:rPr>
        <w:t>U 20</w:t>
      </w:r>
      <w:r w:rsidR="00F44758">
        <w:rPr>
          <w:color w:val="000000"/>
        </w:rPr>
        <w:t>2</w:t>
      </w:r>
      <w:r w:rsidRPr="005E2FA3">
        <w:rPr>
          <w:color w:val="000000"/>
        </w:rPr>
        <w:t>1. primici od inozemnih obveznica ostvareni su u iznosu od 14.147.900.000 kuna u odnosu na ostvarenih 15.114.380.000 kuna u 2020. godini.</w:t>
      </w:r>
    </w:p>
    <w:p w14:paraId="675868FB" w14:textId="77777777" w:rsidR="00E31808" w:rsidRPr="005E2FA3" w:rsidRDefault="00E31808" w:rsidP="00E31808">
      <w:pPr>
        <w:shd w:val="clear" w:color="auto" w:fill="FFFFFF"/>
        <w:jc w:val="both"/>
        <w:rPr>
          <w:color w:val="000000"/>
        </w:rPr>
      </w:pPr>
    </w:p>
    <w:p w14:paraId="0280802B" w14:textId="732FBEB4" w:rsidR="00E31808" w:rsidRDefault="00E31808" w:rsidP="00E31808">
      <w:pPr>
        <w:shd w:val="clear" w:color="auto" w:fill="FFFFFF"/>
        <w:jc w:val="both"/>
        <w:rPr>
          <w:color w:val="000000"/>
        </w:rPr>
      </w:pPr>
      <w:r w:rsidRPr="005E2FA3">
        <w:rPr>
          <w:color w:val="000000"/>
        </w:rPr>
        <w:t xml:space="preserve">Republika Hrvatska je u ožujku </w:t>
      </w:r>
      <w:r w:rsidR="00D460BC">
        <w:rPr>
          <w:color w:val="000000"/>
        </w:rPr>
        <w:t xml:space="preserve">2021. </w:t>
      </w:r>
      <w:r w:rsidRPr="005E2FA3">
        <w:rPr>
          <w:color w:val="000000"/>
        </w:rPr>
        <w:t xml:space="preserve">uspješno realizirala izdanje dvije tranše </w:t>
      </w:r>
      <w:proofErr w:type="spellStart"/>
      <w:r w:rsidRPr="005E2FA3">
        <w:rPr>
          <w:color w:val="000000"/>
        </w:rPr>
        <w:t>euroobveznica</w:t>
      </w:r>
      <w:proofErr w:type="spellEnd"/>
      <w:r w:rsidRPr="005E2FA3">
        <w:rPr>
          <w:color w:val="000000"/>
        </w:rPr>
        <w:t xml:space="preserve"> na međunarodnom financijskom tržištu i to dvanaestogodišnjih i dvadesetogodišnjih obveznica. Obveznice u iznosu 1 milijarde eura su izdane po cijeni od 98,538% nominalnog iznosa uz nepromjenjivi kamatni kupon od 1,125% godišnje, što čini prinos do dospijeća od 1,257%. Obveznice su uplaćene 4. ožujka 2021., a datum dospijeća obveznica je 4. ožujka 2033. Obveznice u iznosu 1 milijarde eura su izdane po cijeni od 99,366% nominalnog iznosa uz nepromjenjivi kamatni kupon od 1,75% godišnje, što čini prinos do dospijeća od 1,788%. Obveznice su uplaćene 4. ožujka 2021., a datum dospijeća obveznica je 4. ožujka 2041.</w:t>
      </w:r>
      <w:r w:rsidRPr="00E31808">
        <w:rPr>
          <w:color w:val="000000"/>
        </w:rPr>
        <w:t xml:space="preserve"> </w:t>
      </w:r>
    </w:p>
    <w:p w14:paraId="2C5208EC" w14:textId="5021182F" w:rsidR="00E31808" w:rsidRDefault="00E31808" w:rsidP="00E31808">
      <w:pPr>
        <w:shd w:val="clear" w:color="auto" w:fill="FFFFFF"/>
        <w:jc w:val="both"/>
        <w:rPr>
          <w:color w:val="000000"/>
        </w:rPr>
      </w:pPr>
    </w:p>
    <w:p w14:paraId="48919224" w14:textId="6D4EF27A" w:rsidR="00AE408E" w:rsidRPr="005E2FA3" w:rsidRDefault="005E2FA3" w:rsidP="00CF385E">
      <w:pPr>
        <w:keepNext/>
        <w:jc w:val="center"/>
        <w:rPr>
          <w:sz w:val="28"/>
          <w:szCs w:val="28"/>
        </w:rPr>
      </w:pPr>
      <w:r w:rsidRPr="005E2FA3">
        <w:rPr>
          <w:sz w:val="28"/>
          <w:szCs w:val="28"/>
        </w:rPr>
        <w:t>Bilješka 39</w:t>
      </w:r>
      <w:r w:rsidR="00AE408E" w:rsidRPr="005E2FA3">
        <w:rPr>
          <w:sz w:val="28"/>
          <w:szCs w:val="28"/>
        </w:rPr>
        <w:t>.</w:t>
      </w:r>
    </w:p>
    <w:p w14:paraId="05820369" w14:textId="739EE85F" w:rsidR="00AE408E" w:rsidRPr="005E2FA3" w:rsidRDefault="00AE408E" w:rsidP="005E2FA3">
      <w:pPr>
        <w:jc w:val="center"/>
        <w:rPr>
          <w:sz w:val="28"/>
          <w:szCs w:val="28"/>
        </w:rPr>
      </w:pPr>
      <w:r w:rsidRPr="005E2FA3">
        <w:rPr>
          <w:sz w:val="28"/>
          <w:szCs w:val="28"/>
        </w:rPr>
        <w:t>AOP 470 Primici od prodaje dionica i udjela u glavnici trgovačkih društava u javnom sektoru</w:t>
      </w:r>
    </w:p>
    <w:p w14:paraId="67C98FE9" w14:textId="0672350A" w:rsidR="00AE408E" w:rsidRPr="005E2FA3" w:rsidRDefault="00AE408E" w:rsidP="00AE408E">
      <w:pPr>
        <w:tabs>
          <w:tab w:val="left" w:pos="180"/>
          <w:tab w:val="left" w:pos="540"/>
        </w:tabs>
        <w:jc w:val="both"/>
      </w:pPr>
      <w:r w:rsidRPr="005E2FA3">
        <w:t xml:space="preserve">Primici od prodaje dionica i udjela u glavnici trgovačkih društava u javnom sektoru ostvareni su u iznosu od 16.007.014 </w:t>
      </w:r>
      <w:r w:rsidRPr="005E2FA3">
        <w:rPr>
          <w:bCs/>
        </w:rPr>
        <w:t>kuna</w:t>
      </w:r>
      <w:r w:rsidRPr="005E2FA3">
        <w:t xml:space="preserve">, što je 25,5% manje od ostvarenja prethode godine. Situacija na tržištu </w:t>
      </w:r>
      <w:r w:rsidRPr="005E2FA3">
        <w:lastRenderedPageBreak/>
        <w:t xml:space="preserve">kapitala uzrokovana epidemijom </w:t>
      </w:r>
      <w:proofErr w:type="spellStart"/>
      <w:r w:rsidRPr="005E2FA3">
        <w:t>koronavirusa</w:t>
      </w:r>
      <w:proofErr w:type="spellEnd"/>
      <w:r w:rsidRPr="005E2FA3">
        <w:t xml:space="preserve"> rezultirala je padom potražnje na tržištu, padom cijena dionica/poslovnih udjela, smanjenjem volumena prodaje i potražnje na tržištu jer su potencijalni investitori zaustavili investicijska ulaganja u dionice/poslovne udjele zbog financijske nesigurnosti i pada vlastitih financijskih prihoda i primitaka.</w:t>
      </w:r>
    </w:p>
    <w:p w14:paraId="66696F03" w14:textId="77777777" w:rsidR="009E0A0B" w:rsidRPr="005E2FA3" w:rsidRDefault="009E0A0B" w:rsidP="00AE408E">
      <w:pPr>
        <w:tabs>
          <w:tab w:val="left" w:pos="180"/>
          <w:tab w:val="left" w:pos="540"/>
        </w:tabs>
        <w:jc w:val="both"/>
      </w:pPr>
    </w:p>
    <w:p w14:paraId="49B840B5" w14:textId="377E3DB5" w:rsidR="005E2FA3" w:rsidRDefault="00AE408E" w:rsidP="00AE408E">
      <w:pPr>
        <w:tabs>
          <w:tab w:val="left" w:pos="180"/>
          <w:tab w:val="left" w:pos="540"/>
        </w:tabs>
        <w:spacing w:after="120"/>
        <w:jc w:val="both"/>
      </w:pPr>
      <w:r w:rsidRPr="005E2FA3">
        <w:t xml:space="preserve">Sredstva od prodaje dionica uplaćena su u državni proračun od strane Centra za restrukturiranje i prodaju koji u svojstvu zakonskog zastupnika, temeljem Zakona o upravljanju državnom imovinom, upravlja dionicama i udjelima čije je imatelj ili ovlaštenik Republika Hrvatska i Hrvatski zavod za mirovinsko osiguranje. </w:t>
      </w:r>
    </w:p>
    <w:p w14:paraId="01121170" w14:textId="77777777" w:rsidR="00D42A73" w:rsidRPr="005E2FA3" w:rsidRDefault="00D42A73" w:rsidP="00AE408E">
      <w:pPr>
        <w:tabs>
          <w:tab w:val="left" w:pos="180"/>
          <w:tab w:val="left" w:pos="540"/>
        </w:tabs>
        <w:spacing w:after="120"/>
        <w:jc w:val="both"/>
      </w:pPr>
    </w:p>
    <w:p w14:paraId="6D762CD3" w14:textId="6EE9DF10" w:rsidR="00D64617" w:rsidRPr="005E2FA3" w:rsidRDefault="005E2FA3" w:rsidP="00D64617">
      <w:pPr>
        <w:jc w:val="center"/>
        <w:rPr>
          <w:sz w:val="28"/>
          <w:szCs w:val="28"/>
        </w:rPr>
      </w:pPr>
      <w:r w:rsidRPr="005E2FA3">
        <w:rPr>
          <w:sz w:val="28"/>
          <w:szCs w:val="28"/>
        </w:rPr>
        <w:t>Bilješka 40</w:t>
      </w:r>
      <w:r w:rsidR="00D64617" w:rsidRPr="005E2FA3">
        <w:rPr>
          <w:sz w:val="28"/>
          <w:szCs w:val="28"/>
        </w:rPr>
        <w:t>.</w:t>
      </w:r>
    </w:p>
    <w:p w14:paraId="7798AC4C" w14:textId="102C88D2" w:rsidR="00D64617" w:rsidRPr="005E2FA3" w:rsidRDefault="00D64617" w:rsidP="005E2FA3">
      <w:pPr>
        <w:jc w:val="center"/>
        <w:rPr>
          <w:sz w:val="28"/>
          <w:szCs w:val="28"/>
        </w:rPr>
      </w:pPr>
      <w:r w:rsidRPr="005E2FA3">
        <w:rPr>
          <w:sz w:val="28"/>
          <w:szCs w:val="28"/>
        </w:rPr>
        <w:t>AOP 473 Dionice i udjeli u glavnici inozemnih kreditnih i ostalih financijskih institucija izvan javnog  sektora</w:t>
      </w:r>
    </w:p>
    <w:p w14:paraId="32B28441" w14:textId="30489CDF" w:rsidR="00D460BC" w:rsidRDefault="00D64617" w:rsidP="00D460BC">
      <w:pPr>
        <w:jc w:val="both"/>
      </w:pPr>
      <w:r w:rsidRPr="005E2FA3">
        <w:t>U 2021. ostvareno je 4.841.177 kuna primitaka od dionica i udjela u glavnici inozemnih kreditnih i ostalih financijskih ins</w:t>
      </w:r>
      <w:r w:rsidR="00D460BC">
        <w:t xml:space="preserve">titucija izvan javnog  sektora što je za 1.033% više </w:t>
      </w:r>
      <w:r w:rsidRPr="005E2FA3">
        <w:t>u odnosu na 427.289 kuna ostvarenih u 2020. godini.</w:t>
      </w:r>
      <w:r w:rsidR="00D460BC">
        <w:t xml:space="preserve"> U 2021.</w:t>
      </w:r>
      <w:r w:rsidR="00D460BC" w:rsidRPr="005E2FA3">
        <w:t xml:space="preserve"> primitak</w:t>
      </w:r>
      <w:r w:rsidR="00D460BC">
        <w:t xml:space="preserve"> u iznosu od 4.260.453,23 kuna </w:t>
      </w:r>
      <w:r w:rsidR="00D460BC" w:rsidRPr="005E2FA3">
        <w:t xml:space="preserve">odnosi </w:t>
      </w:r>
      <w:r w:rsidR="00D460BC">
        <w:t xml:space="preserve">se </w:t>
      </w:r>
      <w:r w:rsidR="00D460BC" w:rsidRPr="005E2FA3">
        <w:t>na prodaju dionica prihvatom ponude u postupku preuzimanja društva ALTA BANKA AD BEOGRAD, Beograd.</w:t>
      </w:r>
    </w:p>
    <w:p w14:paraId="311542C6" w14:textId="77777777" w:rsidR="00636679" w:rsidRPr="005E2FA3" w:rsidRDefault="00636679" w:rsidP="009E0A0B">
      <w:pPr>
        <w:jc w:val="both"/>
      </w:pPr>
    </w:p>
    <w:p w14:paraId="754DAC92" w14:textId="7C7A74FA" w:rsidR="00636679" w:rsidRPr="005E2FA3" w:rsidRDefault="00636679" w:rsidP="009E0A0B">
      <w:pPr>
        <w:jc w:val="both"/>
      </w:pPr>
      <w:r w:rsidRPr="005E2FA3">
        <w:t xml:space="preserve">Temeljem Zakona o </w:t>
      </w:r>
      <w:r w:rsidR="00D460BC">
        <w:t xml:space="preserve">upravljanju državnom imovinom </w:t>
      </w:r>
      <w:r w:rsidRPr="005E2FA3">
        <w:t>Centar za restrukturiranje i prodaju, između ostalog, upravlja u svojstvu zakonskog zastupnika dionicama i udjelima, odnosno osnivačkim pravima, čiji je imatelj ili ovlaštenik Republika Hrvatska, ako se ta imovina odnosi na pravne osobe koje nisu od posebnog interesa za Republiku Hrvatsku. Primici od prodaje dionica i udjela u vlasništvu Republike Hrvatske, prihodi iz sredstava ostvarenih podjelom dobiti, odnosno ostatka stečajne ili likvidacijske mase društava čijih dionica i udjela je imatelj Republika Hrvatska, a kojima upravlja Centar su primitak odnosno prihod državnog proračuna, osim ako Vlada Republike Hrvatske ne donese posebnu odluku da ti prihodi pripadaju Centru za podmirenje financijskih obveza.</w:t>
      </w:r>
    </w:p>
    <w:p w14:paraId="428B3E7C" w14:textId="7D32CA89" w:rsidR="008D350F" w:rsidRPr="003B30B6" w:rsidRDefault="008D350F" w:rsidP="008D350F">
      <w:pPr>
        <w:tabs>
          <w:tab w:val="left" w:pos="180"/>
          <w:tab w:val="left" w:pos="540"/>
        </w:tabs>
        <w:jc w:val="both"/>
      </w:pPr>
    </w:p>
    <w:p w14:paraId="72E8E692" w14:textId="17B1B6BE" w:rsidR="008D350F" w:rsidRPr="005E2FA3" w:rsidRDefault="005E2FA3" w:rsidP="008D350F">
      <w:pPr>
        <w:jc w:val="center"/>
        <w:rPr>
          <w:sz w:val="28"/>
          <w:szCs w:val="28"/>
        </w:rPr>
      </w:pPr>
      <w:r w:rsidRPr="005E2FA3">
        <w:rPr>
          <w:sz w:val="28"/>
          <w:szCs w:val="28"/>
        </w:rPr>
        <w:t>Bilješka 41</w:t>
      </w:r>
      <w:r w:rsidR="008D350F" w:rsidRPr="005E2FA3">
        <w:rPr>
          <w:sz w:val="28"/>
          <w:szCs w:val="28"/>
        </w:rPr>
        <w:t xml:space="preserve">. </w:t>
      </w:r>
    </w:p>
    <w:p w14:paraId="695C690F" w14:textId="0E2BDCB0" w:rsidR="008D350F" w:rsidRPr="005E2FA3" w:rsidRDefault="008D350F" w:rsidP="005E2FA3">
      <w:pPr>
        <w:jc w:val="center"/>
        <w:rPr>
          <w:sz w:val="28"/>
          <w:szCs w:val="28"/>
        </w:rPr>
      </w:pPr>
      <w:r w:rsidRPr="005E2FA3">
        <w:rPr>
          <w:sz w:val="28"/>
          <w:szCs w:val="28"/>
        </w:rPr>
        <w:t>AOP 478</w:t>
      </w:r>
      <w:r w:rsidRPr="005E2FA3">
        <w:t xml:space="preserve"> </w:t>
      </w:r>
      <w:r w:rsidRPr="005E2FA3">
        <w:rPr>
          <w:sz w:val="28"/>
          <w:szCs w:val="28"/>
        </w:rPr>
        <w:t>Primljeni krediti i zajmovi od međunarodnih organizacija, institucija i tijela EU te inozemnih vlada (AOP 479 do 482)</w:t>
      </w:r>
    </w:p>
    <w:p w14:paraId="19376541" w14:textId="5BF63E4F" w:rsidR="008D350F" w:rsidRPr="005E2FA3" w:rsidRDefault="008D350F" w:rsidP="008D350F">
      <w:pPr>
        <w:tabs>
          <w:tab w:val="left" w:pos="180"/>
          <w:tab w:val="left" w:pos="540"/>
        </w:tabs>
        <w:spacing w:after="120"/>
        <w:jc w:val="both"/>
      </w:pPr>
      <w:r w:rsidRPr="005E2FA3">
        <w:t>Primljeni zajmovi od međunarodnih organizacija u 2021. godini su ostvareni u iznosu od 3,2 milijarde kuna dok je u 2020. godini evidentirano 191,7 milijuna kuna primljenih zajm</w:t>
      </w:r>
      <w:r w:rsidR="004C306A" w:rsidRPr="005E2FA3">
        <w:t>ova od međunarodnih institucija.</w:t>
      </w:r>
    </w:p>
    <w:p w14:paraId="00DD8D01" w14:textId="0CEDEC8D" w:rsidR="004C306A" w:rsidRPr="005E2FA3" w:rsidRDefault="004C306A" w:rsidP="004C306A">
      <w:pPr>
        <w:tabs>
          <w:tab w:val="left" w:pos="180"/>
          <w:tab w:val="left" w:pos="540"/>
        </w:tabs>
        <w:spacing w:after="120"/>
        <w:jc w:val="both"/>
      </w:pPr>
      <w:r w:rsidRPr="005E2FA3">
        <w:t>Dana 5. travnja 2020. godine potpisan je Ugovor o zajmu između Republike Hrvatske i Međunarodne banke za obnovu i razvoj (IBRD) u iznosu od 100 milijuna EUR za Projekt učinkovitog pravosuđa za bolje poslovno okruženje (IBRD zajam br. 90570). Svrha Projekta je podrška Republici Hrvatskoj u daljnjem osnaživanju gospodarske klime i unaprjeđenju poslovnog okruženja s fokusom na podršku pravosudnom sektoru sa stajališta učinkovitosti, transparentnosti i troška. Ispunjenjem određenih rezultata koji se mjere prema unaprijed definiranim indikatorima, ostvareni su preduvjeti za povlačenje sredstava u iznosu od 4.088.000,00 EUR u korist Ministarstva financija (Državne riznice) kao jednog od korisnika zajma. Navedena sredstva povučena su u listopadu 2021. godine.</w:t>
      </w:r>
    </w:p>
    <w:p w14:paraId="476E470C" w14:textId="0AD9943F" w:rsidR="004C306A" w:rsidRPr="005E2FA3" w:rsidRDefault="004C306A" w:rsidP="004C306A">
      <w:pPr>
        <w:tabs>
          <w:tab w:val="left" w:pos="180"/>
          <w:tab w:val="left" w:pos="540"/>
        </w:tabs>
        <w:spacing w:after="120"/>
        <w:jc w:val="both"/>
      </w:pPr>
      <w:r w:rsidRPr="005E2FA3">
        <w:t xml:space="preserve">Zajam za razvojnu politiku za odgovor na krizu i podršku oporavku potpisan je 02. srpnja 2020. godine između Republike Hrvatske i IBRD-a (IBRD zajam br. 91350) u iznosu od 275,9 milijuna EUR. Navedenim zajmom podržavaju se mjere Vlade RH za ublažavanje neposrednog socijalnog i ekonomskog utjecaja krize izazvane COVID-19 </w:t>
      </w:r>
      <w:proofErr w:type="spellStart"/>
      <w:r w:rsidRPr="005E2FA3">
        <w:t>pandemijom</w:t>
      </w:r>
      <w:proofErr w:type="spellEnd"/>
      <w:r w:rsidRPr="005E2FA3">
        <w:t xml:space="preserve">, kao i za postavljanje temelja za </w:t>
      </w:r>
      <w:r w:rsidRPr="005E2FA3">
        <w:lastRenderedPageBreak/>
        <w:t xml:space="preserve">promicanje </w:t>
      </w:r>
      <w:proofErr w:type="spellStart"/>
      <w:r w:rsidRPr="005E2FA3">
        <w:t>uključivog</w:t>
      </w:r>
      <w:proofErr w:type="spellEnd"/>
      <w:r w:rsidRPr="005E2FA3">
        <w:t xml:space="preserve"> i održivog oporavka. Do siječnja 2021. godine, u korist Ministarstva financija (korisnik zajma) povučena su sva sredstva zajma.</w:t>
      </w:r>
    </w:p>
    <w:p w14:paraId="10C13857" w14:textId="0A237F5C" w:rsidR="004C306A" w:rsidRPr="005E2FA3" w:rsidRDefault="004C306A" w:rsidP="004C306A">
      <w:pPr>
        <w:tabs>
          <w:tab w:val="left" w:pos="180"/>
          <w:tab w:val="left" w:pos="540"/>
        </w:tabs>
        <w:spacing w:after="120"/>
        <w:jc w:val="both"/>
      </w:pPr>
      <w:r w:rsidRPr="005E2FA3">
        <w:t xml:space="preserve">Dana 15. srpnja 2020. godine ugovoren je zajam između Republike Hrvatske i Razvojne banke Vijeća Europe za Projekt LD 2056 (2020) – Podrška mjerama u Republici Hrvatskoj, povezanih s </w:t>
      </w:r>
      <w:proofErr w:type="spellStart"/>
      <w:r w:rsidRPr="005E2FA3">
        <w:t>pandemijom</w:t>
      </w:r>
      <w:proofErr w:type="spellEnd"/>
      <w:r w:rsidRPr="005E2FA3">
        <w:t xml:space="preserve"> bolesti COVID-19 – instrument financiranja javnog sektora u iznosu od 200 milijuna EUR. Provedbom zajma pruža se podrška državnom proračunu Republike Hrvatske u kontekstu povećanih potreba sektora zdravstva uzrokovanih </w:t>
      </w:r>
      <w:proofErr w:type="spellStart"/>
      <w:r w:rsidRPr="005E2FA3">
        <w:t>pandemijom</w:t>
      </w:r>
      <w:proofErr w:type="spellEnd"/>
      <w:r w:rsidRPr="005E2FA3">
        <w:t xml:space="preserve"> bolesti COVID-19 te se podržava kontinuitet pružanja javnih usluga jedinica lokalne i područne (regionalne) samouprave, koje su slijedom donesenih mjera suočene s padom prihoda uslijed otpisa i odgoda te obročnog plaćanja poreza na dohodak i prireza. U kolovozu 2021. godine povučena su sredstva zajma u iznosu od 150 milijuna EUR u korist Ministarstva financija (korisnik zajma).</w:t>
      </w:r>
    </w:p>
    <w:p w14:paraId="7EEC2C8E" w14:textId="360DF683" w:rsidR="008D350F" w:rsidRPr="005E2FA3" w:rsidRDefault="008D350F" w:rsidP="00DD2F7F">
      <w:pPr>
        <w:tabs>
          <w:tab w:val="left" w:pos="180"/>
          <w:tab w:val="left" w:pos="540"/>
        </w:tabs>
        <w:spacing w:after="120"/>
        <w:jc w:val="both"/>
      </w:pPr>
      <w:r w:rsidRPr="005E2FA3">
        <w:t>U okviru primljenih kredita i z</w:t>
      </w:r>
      <w:r w:rsidR="005360EE">
        <w:t xml:space="preserve">ajmova institucija i tijela EU </w:t>
      </w:r>
      <w:r w:rsidRPr="005E2FA3">
        <w:t>iznos od 3,9 milijardi kuna (510,0 milijuna EUR-a) odnosi se na zajam Europske komisije u okviru instrumenta SURE – privremenog instrumenta Europske Unije namijenjenog smanjenju rizika od nezaposlenosti tijekom krize uzrokovane bolešću COVID-19 za financiranje subvencija za očuvanje radnih mjesta u sektorima pogođenim bolešću COVID – 19 i pomoći za skraćivanje radnog vremena. Naime, za spomenute namjene Europska unija je Republici Hrvatskoj odobrila zajam u iznosu od 1.020.600.000 EUR-a. U 2020. godini povučen je iznos od 510,0 milijuna EUR-a, dok je preostali iznos odobrenog zajma povučen</w:t>
      </w:r>
      <w:r w:rsidR="004C306A" w:rsidRPr="005E2FA3">
        <w:t xml:space="preserve"> </w:t>
      </w:r>
      <w:r w:rsidRPr="005E2FA3">
        <w:t>u ožujku 2021. godine.</w:t>
      </w:r>
    </w:p>
    <w:p w14:paraId="457646DC" w14:textId="0383DDDF" w:rsidR="008D350F" w:rsidRPr="005E2FA3" w:rsidRDefault="008D350F" w:rsidP="005E2FA3">
      <w:pPr>
        <w:tabs>
          <w:tab w:val="left" w:pos="180"/>
          <w:tab w:val="left" w:pos="540"/>
        </w:tabs>
        <w:jc w:val="center"/>
        <w:rPr>
          <w:sz w:val="28"/>
          <w:szCs w:val="28"/>
        </w:rPr>
      </w:pPr>
      <w:r w:rsidRPr="005E2FA3">
        <w:rPr>
          <w:sz w:val="28"/>
          <w:szCs w:val="28"/>
        </w:rPr>
        <w:t>Bilješka</w:t>
      </w:r>
      <w:r w:rsidR="005E2FA3" w:rsidRPr="005E2FA3">
        <w:rPr>
          <w:sz w:val="28"/>
          <w:szCs w:val="28"/>
        </w:rPr>
        <w:t xml:space="preserve"> 42.</w:t>
      </w:r>
    </w:p>
    <w:p w14:paraId="658948C0" w14:textId="77777777" w:rsidR="008D350F" w:rsidRPr="005E2FA3" w:rsidRDefault="008D350F" w:rsidP="005E2FA3">
      <w:pPr>
        <w:tabs>
          <w:tab w:val="left" w:pos="180"/>
          <w:tab w:val="left" w:pos="540"/>
        </w:tabs>
        <w:jc w:val="center"/>
        <w:rPr>
          <w:sz w:val="28"/>
          <w:szCs w:val="28"/>
        </w:rPr>
      </w:pPr>
      <w:r w:rsidRPr="005E2FA3">
        <w:rPr>
          <w:sz w:val="28"/>
          <w:szCs w:val="28"/>
        </w:rPr>
        <w:t>AOP 484 Primljeni krediti od kreditnih institucija u javnom sektoru</w:t>
      </w:r>
    </w:p>
    <w:p w14:paraId="5EB8DDFE" w14:textId="34492933" w:rsidR="008D350F" w:rsidRDefault="008D350F" w:rsidP="008D350F">
      <w:pPr>
        <w:tabs>
          <w:tab w:val="left" w:pos="180"/>
          <w:tab w:val="left" w:pos="540"/>
        </w:tabs>
        <w:spacing w:after="120"/>
        <w:jc w:val="both"/>
      </w:pPr>
      <w:r w:rsidRPr="005E2FA3">
        <w:t>U okviru primljenih kredita i zajmova od kreditnih i ostalih financijskih institucija u javnom sektoru u 2020. godini primljen je dugoročni kredit od Hrvatske poštan</w:t>
      </w:r>
      <w:r w:rsidR="00DD2F7F" w:rsidRPr="005E2FA3">
        <w:t>ske banke d.d. u iznosu od 500</w:t>
      </w:r>
      <w:r w:rsidRPr="005E2FA3">
        <w:t xml:space="preserve"> milijuna kuna u travnju 2020. godine s dospijećem u travnju 2025. godine. S obzirom da u 2021. godini nije bilo primitaka od kreditnih i ostalih financijskih institucija u javnom sektoru, bilježi se smanjenje od 100% u 2021. </w:t>
      </w:r>
      <w:r w:rsidR="00547206">
        <w:t xml:space="preserve">godini </w:t>
      </w:r>
      <w:r w:rsidRPr="005E2FA3">
        <w:t>u odnosu na 2020. godinu.</w:t>
      </w:r>
    </w:p>
    <w:p w14:paraId="752936DB" w14:textId="79BA91D5" w:rsidR="008D350F" w:rsidRDefault="008D350F" w:rsidP="008D350F">
      <w:pPr>
        <w:tabs>
          <w:tab w:val="left" w:pos="180"/>
          <w:tab w:val="left" w:pos="540"/>
        </w:tabs>
        <w:spacing w:after="120"/>
        <w:jc w:val="both"/>
      </w:pPr>
    </w:p>
    <w:p w14:paraId="583F3860" w14:textId="3CB0D74B" w:rsidR="008D350F" w:rsidRPr="00B852EF" w:rsidRDefault="008D350F" w:rsidP="008D350F">
      <w:pPr>
        <w:jc w:val="center"/>
        <w:rPr>
          <w:sz w:val="28"/>
          <w:szCs w:val="28"/>
        </w:rPr>
      </w:pPr>
      <w:r w:rsidRPr="00B852EF">
        <w:rPr>
          <w:sz w:val="28"/>
          <w:szCs w:val="28"/>
        </w:rPr>
        <w:t>Bil</w:t>
      </w:r>
      <w:r w:rsidR="005E2FA3" w:rsidRPr="00B852EF">
        <w:rPr>
          <w:sz w:val="28"/>
          <w:szCs w:val="28"/>
        </w:rPr>
        <w:t>ješka 43</w:t>
      </w:r>
      <w:r w:rsidRPr="00B852EF">
        <w:rPr>
          <w:sz w:val="28"/>
          <w:szCs w:val="28"/>
        </w:rPr>
        <w:t>.</w:t>
      </w:r>
    </w:p>
    <w:p w14:paraId="0C629637" w14:textId="5E99A6E6" w:rsidR="008D350F" w:rsidRPr="00B852EF" w:rsidRDefault="008D350F" w:rsidP="008D350F">
      <w:pPr>
        <w:jc w:val="center"/>
        <w:rPr>
          <w:sz w:val="28"/>
          <w:szCs w:val="28"/>
        </w:rPr>
      </w:pPr>
      <w:r w:rsidRPr="00B852EF">
        <w:rPr>
          <w:sz w:val="28"/>
          <w:szCs w:val="28"/>
        </w:rPr>
        <w:t>AOP 486 Primljeni zajmovi od ostalih financijskih institucija u javnom sektoru</w:t>
      </w:r>
    </w:p>
    <w:p w14:paraId="05797EBC" w14:textId="6700089B" w:rsidR="008D350F" w:rsidRDefault="008D350F" w:rsidP="005E2FA3">
      <w:pPr>
        <w:pStyle w:val="xdefault"/>
        <w:shd w:val="clear" w:color="auto" w:fill="FFFFFF"/>
        <w:spacing w:before="0" w:beforeAutospacing="0"/>
        <w:jc w:val="both"/>
      </w:pPr>
      <w:r w:rsidRPr="00B852EF">
        <w:t>U 2020. godini ostvareno je 52.124.117 kuna primitaka od zajmova od ostalih financijskih institucija u</w:t>
      </w:r>
      <w:r w:rsidR="00547206">
        <w:t xml:space="preserve"> javnom sektoru, dok je u 2021. </w:t>
      </w:r>
      <w:r w:rsidRPr="00B852EF">
        <w:t xml:space="preserve">ostvareno 9.330.555 kuna. Sukladno odredbama Pravilnika o postupanju Središnjeg registra osiguranika i mirovinskih društava prema članovima obveznih mirovinskih fondova (Narodne novine br. 60/14 i 135/15, 86/18, 56/19 i 91/19), članak 10. stavak 2. i članak 11. stavak 1., Središnji registar osiguranika (REGOS) prosljeđuje sredstva nepovezanih uplata doprinosa za obvezna mirovinska osiguranja odnosno sredstva ostvarena od uplata osiguranika koji nisu odabrali mirovinski fond na privremeni račun. Upravljanje privremenim računom, kao i visina, način obračuna, rok isplate kamata te nadzor nad privremenim računom regulirani su Sporazumom o upravljanju privremenim računom kojeg su zaključili Ministarstvo financija, Hrvatska agencija za nadzor financijskih usluga i Središnji registar osiguranika (REGOS). Sredstva od nepovezanih uplata doprinosa za obvezna mirovinska osiguranja usmjeravaju se s prolaznog računa na privremeni račun i odmah istog dana na račun državnog proračuna. Također, svakog prvog radnog dana u tjednu za prethodni tjedan REGOS, nakon povezivanja nepovezanih uplata, dostavlja podatke Ministarstvu financija o ukupnom iznosu sredstava koja se usmjeravaju s privremenog na prolazni račun. Uplate sredstva od nepovezanih uplata doprinosa za obvezna mirovinska osiguranja s privremenog računa na račun državnog proračuna evidentiraju se na računu 842410100 Primljeni zajmovi od ostalih financijskih institucija u javnom sektoru – HAGENA, a isplate s računa državnog proračuna na privremeni </w:t>
      </w:r>
      <w:r w:rsidRPr="00B852EF">
        <w:lastRenderedPageBreak/>
        <w:t>računa evidentiraju se na računu 542410001 Otplata glavnice primljenih zajmova u javnom sektoru – REGOS. U financijskom izvještaju iskazuje se neto efekt.</w:t>
      </w:r>
    </w:p>
    <w:p w14:paraId="492A6ABE" w14:textId="47D779CC" w:rsidR="008D350F" w:rsidRPr="00B852EF" w:rsidRDefault="00B852EF" w:rsidP="008D350F">
      <w:pPr>
        <w:jc w:val="center"/>
        <w:rPr>
          <w:sz w:val="28"/>
          <w:szCs w:val="28"/>
        </w:rPr>
      </w:pPr>
      <w:r w:rsidRPr="00B852EF">
        <w:rPr>
          <w:sz w:val="28"/>
          <w:szCs w:val="28"/>
        </w:rPr>
        <w:t>Bilješka 44</w:t>
      </w:r>
      <w:r w:rsidR="008D350F" w:rsidRPr="00B852EF">
        <w:rPr>
          <w:sz w:val="28"/>
          <w:szCs w:val="28"/>
        </w:rPr>
        <w:t xml:space="preserve">. </w:t>
      </w:r>
    </w:p>
    <w:p w14:paraId="71B88D4D" w14:textId="11F1F9C5" w:rsidR="008D350F" w:rsidRPr="00B852EF" w:rsidRDefault="008D350F" w:rsidP="00D42A73">
      <w:pPr>
        <w:jc w:val="center"/>
        <w:rPr>
          <w:sz w:val="28"/>
          <w:szCs w:val="28"/>
        </w:rPr>
      </w:pPr>
      <w:r w:rsidRPr="00B852EF">
        <w:rPr>
          <w:sz w:val="28"/>
          <w:szCs w:val="28"/>
        </w:rPr>
        <w:t>AOP 48</w:t>
      </w:r>
      <w:r w:rsidR="00DD2F7F" w:rsidRPr="00B852EF">
        <w:rPr>
          <w:sz w:val="28"/>
          <w:szCs w:val="28"/>
        </w:rPr>
        <w:t>9</w:t>
      </w:r>
      <w:r w:rsidRPr="00B852EF">
        <w:t xml:space="preserve"> </w:t>
      </w:r>
      <w:r w:rsidRPr="00B852EF">
        <w:rPr>
          <w:sz w:val="28"/>
          <w:szCs w:val="28"/>
        </w:rPr>
        <w:t>Primljeni krediti od tuzemnih kreditnih institucija izvan javnog sektora</w:t>
      </w:r>
    </w:p>
    <w:p w14:paraId="54BE63FD" w14:textId="1EC94865" w:rsidR="008D350F" w:rsidRPr="00B852EF" w:rsidRDefault="008D350F" w:rsidP="00D42A73">
      <w:pPr>
        <w:tabs>
          <w:tab w:val="left" w:pos="180"/>
          <w:tab w:val="left" w:pos="540"/>
        </w:tabs>
        <w:spacing w:after="120"/>
        <w:jc w:val="both"/>
      </w:pPr>
      <w:r w:rsidRPr="00B852EF">
        <w:t>U okviru primljenih kredita i zajmova od kreditnih institucija izvan javnog sektora evidentirani su d</w:t>
      </w:r>
      <w:r w:rsidR="00FF2BB9" w:rsidRPr="00B852EF">
        <w:t>ugoročni krediti u iznosu od 5</w:t>
      </w:r>
      <w:r w:rsidRPr="00B852EF">
        <w:t xml:space="preserve"> milijardi kuna u 2021., što je sman</w:t>
      </w:r>
      <w:r w:rsidR="00FF2BB9" w:rsidRPr="00B852EF">
        <w:t>jenje u odnosu na ostvarenih 7</w:t>
      </w:r>
      <w:r w:rsidRPr="00B852EF">
        <w:t xml:space="preserve"> milijardi kuna primitaka u 2020.</w:t>
      </w:r>
      <w:r w:rsidR="00547206">
        <w:t xml:space="preserve"> godini</w:t>
      </w:r>
    </w:p>
    <w:p w14:paraId="1C697F7B" w14:textId="7FB5DAB6" w:rsidR="00FF2BB9" w:rsidRPr="00B852EF" w:rsidRDefault="00FF2BB9" w:rsidP="00D42A73">
      <w:pPr>
        <w:tabs>
          <w:tab w:val="left" w:pos="360"/>
        </w:tabs>
        <w:spacing w:after="160"/>
        <w:jc w:val="both"/>
        <w:rPr>
          <w:rFonts w:eastAsiaTheme="minorHAnsi"/>
          <w:lang w:eastAsia="en-US"/>
        </w:rPr>
      </w:pPr>
      <w:r w:rsidRPr="00B852EF">
        <w:rPr>
          <w:rFonts w:eastAsiaTheme="minorHAnsi"/>
          <w:lang w:eastAsia="en-US"/>
        </w:rPr>
        <w:t>Radi izvršenja izdataka utvrđenih Zakonom o</w:t>
      </w:r>
      <w:r w:rsidR="005360EE">
        <w:rPr>
          <w:rFonts w:eastAsiaTheme="minorHAnsi"/>
          <w:lang w:eastAsia="en-US"/>
        </w:rPr>
        <w:t xml:space="preserve"> izvršavanju Državnog proračuna Republike Hrvatske za 2021., </w:t>
      </w:r>
      <w:r w:rsidRPr="00B852EF">
        <w:rPr>
          <w:rFonts w:eastAsiaTheme="minorHAnsi"/>
          <w:lang w:eastAsia="en-US"/>
        </w:rPr>
        <w:t xml:space="preserve">Republika Hrvatska se u lipnju 2021. </w:t>
      </w:r>
      <w:r w:rsidR="00547206">
        <w:rPr>
          <w:rFonts w:eastAsiaTheme="minorHAnsi"/>
          <w:lang w:eastAsia="en-US"/>
        </w:rPr>
        <w:t xml:space="preserve">godine </w:t>
      </w:r>
      <w:r w:rsidRPr="00B852EF">
        <w:rPr>
          <w:rFonts w:eastAsiaTheme="minorHAnsi"/>
          <w:lang w:eastAsia="en-US"/>
        </w:rPr>
        <w:t xml:space="preserve">zadužila na domaćem financijskom tržištu u iznosu 3 milijarde kuna uz fiksnu kamatnu stopu 0,298% godišnje. Glavnica će se otplatiti jednokratno 31. srpnja 2026. </w:t>
      </w:r>
    </w:p>
    <w:p w14:paraId="164C4889" w14:textId="77777777" w:rsidR="00FF2BB9" w:rsidRPr="00B852EF" w:rsidRDefault="00FF2BB9" w:rsidP="00D42A73">
      <w:pPr>
        <w:tabs>
          <w:tab w:val="left" w:pos="360"/>
        </w:tabs>
        <w:spacing w:after="160"/>
        <w:jc w:val="both"/>
        <w:rPr>
          <w:rFonts w:eastAsiaTheme="minorHAnsi"/>
          <w:lang w:eastAsia="en-US"/>
        </w:rPr>
      </w:pPr>
      <w:r w:rsidRPr="00B852EF">
        <w:rPr>
          <w:rFonts w:eastAsiaTheme="minorHAnsi"/>
          <w:lang w:eastAsia="en-US"/>
        </w:rPr>
        <w:t xml:space="preserve">U istom mjesecu Republika Hrvatska se zadužila na domaćem financijskom tržištu u iznosu 2 milijarde kuna, uz fiksnu kamatnu stopu 0,198% godišnje. Glavnica će se otplaćivati u jednakim polugodišnjim ratama od kojih prva dospijeva 31. prosinca 2021., a posljednja 30. lipnja 2026. </w:t>
      </w:r>
    </w:p>
    <w:p w14:paraId="36AFE95A" w14:textId="77777777" w:rsidR="008D350F" w:rsidRPr="00B852EF" w:rsidRDefault="008D350F" w:rsidP="008D350F">
      <w:pPr>
        <w:rPr>
          <w:sz w:val="28"/>
          <w:szCs w:val="28"/>
        </w:rPr>
      </w:pPr>
    </w:p>
    <w:p w14:paraId="36FF27F3" w14:textId="32AEE020" w:rsidR="008D350F" w:rsidRPr="00B852EF" w:rsidRDefault="00B852EF" w:rsidP="008D350F">
      <w:pPr>
        <w:jc w:val="center"/>
        <w:rPr>
          <w:sz w:val="28"/>
          <w:szCs w:val="28"/>
        </w:rPr>
      </w:pPr>
      <w:r w:rsidRPr="00B852EF">
        <w:rPr>
          <w:sz w:val="28"/>
          <w:szCs w:val="28"/>
        </w:rPr>
        <w:t>Bilješka 45</w:t>
      </w:r>
      <w:r w:rsidR="008D350F" w:rsidRPr="00B852EF">
        <w:rPr>
          <w:sz w:val="28"/>
          <w:szCs w:val="28"/>
        </w:rPr>
        <w:t>.</w:t>
      </w:r>
    </w:p>
    <w:p w14:paraId="75AC6FDD" w14:textId="77777777" w:rsidR="008D350F" w:rsidRPr="00B852EF" w:rsidRDefault="008D350F" w:rsidP="008D350F">
      <w:pPr>
        <w:jc w:val="center"/>
        <w:rPr>
          <w:sz w:val="28"/>
          <w:szCs w:val="28"/>
        </w:rPr>
      </w:pPr>
      <w:r w:rsidRPr="00B852EF">
        <w:rPr>
          <w:sz w:val="28"/>
          <w:szCs w:val="28"/>
        </w:rPr>
        <w:t>AOP 532</w:t>
      </w:r>
      <w:r w:rsidRPr="00B852EF">
        <w:t xml:space="preserve"> </w:t>
      </w:r>
      <w:r w:rsidRPr="00B852EF">
        <w:rPr>
          <w:sz w:val="28"/>
          <w:szCs w:val="28"/>
        </w:rPr>
        <w:t xml:space="preserve">Izdaci za dane zajmove kreditnim i ostalim financijskim institucijama u javnom sektoru </w:t>
      </w:r>
    </w:p>
    <w:p w14:paraId="34FBC3A1" w14:textId="1293F896" w:rsidR="00D64617" w:rsidRDefault="008D350F" w:rsidP="00B852EF">
      <w:pPr>
        <w:jc w:val="both"/>
      </w:pPr>
      <w:r w:rsidRPr="00B852EF">
        <w:t xml:space="preserve">Republika Hrvatska - Ministarstvo financija i </w:t>
      </w:r>
      <w:r w:rsidR="00422FDD">
        <w:t>HBOR</w:t>
      </w:r>
      <w:r w:rsidRPr="00B852EF">
        <w:t xml:space="preserve"> zaključili su dana 26. lipnja 2020. Ugovor o zajmu broj: 1/2020 na iznos od 3.000.000.000,00 kuna s rokovima isplate do 1.7.2020. godine u iznosu od 1.500.000.000,00 kuna i do 15.12.2020. godine u iznosu od 1.500.000.000,00 kuna s rokom otplate 15.12.2023., a radi ublažavanja negativnih posljedica epidemije </w:t>
      </w:r>
      <w:proofErr w:type="spellStart"/>
      <w:r w:rsidRPr="00B852EF">
        <w:t>koronavirusa</w:t>
      </w:r>
      <w:proofErr w:type="spellEnd"/>
      <w:r w:rsidRPr="00B852EF">
        <w:t>, provođenja mjera za očuvanje razine gospodarske aktivnosti, likvidnosti gospodarskih subjekata te očuvanja radnih mjesta. Ovaj Ugovor je realiziran samo djelomično, naime 1.7.2020</w:t>
      </w:r>
      <w:r w:rsidR="00422FDD">
        <w:t>.</w:t>
      </w:r>
      <w:r w:rsidRPr="00B852EF">
        <w:t xml:space="preserve"> realizirana je prva isplata zajma u iznosu od 1.500.000.000,00 kuna</w:t>
      </w:r>
      <w:r w:rsidR="00422FDD">
        <w:t>. S</w:t>
      </w:r>
      <w:r w:rsidRPr="00B852EF">
        <w:t xml:space="preserve"> obzirom da HBOR tijekom 2020. godine nije imao potrebu za dodatnim sreds</w:t>
      </w:r>
      <w:r w:rsidR="00422FDD">
        <w:t>tvima za osiguranje likvidnosti, d</w:t>
      </w:r>
      <w:r w:rsidRPr="00B852EF">
        <w:t>odatkom I. Ugovoru o zajmu broj 1/2020 od 04. veljače 2021.  ugovoreni iznos zajma umanjuje se na 1.500.000.000,00 kuna. Slijedom navedenog, u 2021. godini nema realiziranih navedenih izdataka.</w:t>
      </w:r>
    </w:p>
    <w:p w14:paraId="39199D3F" w14:textId="25AEECD7" w:rsidR="00BD4EF5" w:rsidRDefault="00BD4EF5" w:rsidP="00D64617"/>
    <w:p w14:paraId="5EE783D3" w14:textId="74A63C3D" w:rsidR="00BD4EF5" w:rsidRPr="00B852EF" w:rsidRDefault="00B852EF" w:rsidP="00BD4EF5">
      <w:pPr>
        <w:keepNext/>
        <w:jc w:val="center"/>
        <w:rPr>
          <w:sz w:val="28"/>
          <w:szCs w:val="28"/>
        </w:rPr>
      </w:pPr>
      <w:r w:rsidRPr="00B852EF">
        <w:rPr>
          <w:sz w:val="28"/>
          <w:szCs w:val="28"/>
        </w:rPr>
        <w:t>Bilješka 46</w:t>
      </w:r>
      <w:r w:rsidR="00BD4EF5" w:rsidRPr="00B852EF">
        <w:rPr>
          <w:sz w:val="28"/>
          <w:szCs w:val="28"/>
        </w:rPr>
        <w:t>.</w:t>
      </w:r>
    </w:p>
    <w:p w14:paraId="72B91DE0" w14:textId="5871AE6D" w:rsidR="00BD4EF5" w:rsidRPr="00B852EF" w:rsidRDefault="00100CF5" w:rsidP="00BD4EF5">
      <w:pPr>
        <w:keepNext/>
        <w:jc w:val="center"/>
      </w:pPr>
      <w:r w:rsidRPr="00B852EF">
        <w:rPr>
          <w:sz w:val="28"/>
          <w:szCs w:val="28"/>
        </w:rPr>
        <w:t>AOP 549 do 555</w:t>
      </w:r>
      <w:r w:rsidR="00BD4EF5" w:rsidRPr="00B852EF">
        <w:rPr>
          <w:sz w:val="28"/>
          <w:szCs w:val="28"/>
        </w:rPr>
        <w:t xml:space="preserve"> Dani zajmovi </w:t>
      </w:r>
      <w:r w:rsidRPr="00B852EF">
        <w:rPr>
          <w:sz w:val="28"/>
          <w:szCs w:val="28"/>
        </w:rPr>
        <w:t>drugim razinama vlasti</w:t>
      </w:r>
      <w:r w:rsidR="00BD4EF5" w:rsidRPr="00B852EF">
        <w:rPr>
          <w:sz w:val="28"/>
          <w:szCs w:val="28"/>
        </w:rPr>
        <w:t xml:space="preserve"> </w:t>
      </w:r>
    </w:p>
    <w:p w14:paraId="42BC0D9D" w14:textId="1DF41ED2" w:rsidR="00BD4EF5" w:rsidRPr="00B852EF" w:rsidRDefault="00F035F7" w:rsidP="00BD4EF5">
      <w:pPr>
        <w:tabs>
          <w:tab w:val="decimal" w:pos="7380"/>
        </w:tabs>
        <w:jc w:val="both"/>
        <w:rPr>
          <w:color w:val="000000"/>
        </w:rPr>
      </w:pPr>
      <w:r w:rsidRPr="00B852EF">
        <w:rPr>
          <w:color w:val="000000"/>
        </w:rPr>
        <w:t>U 2021</w:t>
      </w:r>
      <w:r w:rsidR="00100CF5" w:rsidRPr="00B852EF">
        <w:rPr>
          <w:color w:val="000000"/>
        </w:rPr>
        <w:t xml:space="preserve">. godini na AOP-u 548 </w:t>
      </w:r>
      <w:r w:rsidR="00BD4EF5" w:rsidRPr="00B852EF">
        <w:rPr>
          <w:color w:val="000000"/>
        </w:rPr>
        <w:t xml:space="preserve">iskazano je </w:t>
      </w:r>
      <w:r w:rsidR="00100CF5" w:rsidRPr="00B852EF">
        <w:rPr>
          <w:color w:val="000000"/>
        </w:rPr>
        <w:t>489.790.092 kuna, što je 76,2% manje u odnosu na ostvarenje u 2020. godini.</w:t>
      </w:r>
    </w:p>
    <w:p w14:paraId="0536E24F" w14:textId="008AA0B2" w:rsidR="00100CF5" w:rsidRPr="00B852EF" w:rsidRDefault="00100CF5" w:rsidP="00BD4EF5">
      <w:pPr>
        <w:tabs>
          <w:tab w:val="decimal" w:pos="7380"/>
        </w:tabs>
        <w:jc w:val="both"/>
        <w:rPr>
          <w:color w:val="000000"/>
        </w:rPr>
      </w:pPr>
    </w:p>
    <w:p w14:paraId="1EC2D77F" w14:textId="67AFF1CE" w:rsidR="00100CF5" w:rsidRPr="00B852EF" w:rsidRDefault="00100CF5" w:rsidP="00100CF5">
      <w:pPr>
        <w:tabs>
          <w:tab w:val="decimal" w:pos="7380"/>
        </w:tabs>
        <w:jc w:val="both"/>
        <w:rPr>
          <w:color w:val="000000"/>
        </w:rPr>
      </w:pPr>
      <w:r w:rsidRPr="00B852EF">
        <w:rPr>
          <w:color w:val="000000"/>
        </w:rPr>
        <w:t>Zakonom o izvršavanju Državnog proračuna Republike Hrvatske za 2021. godinu utvrđena je pravna osnova za donošenje odluke Vlade Republike Hrvatske, ako za to postoji mogućnost i sukladno potrebi, o dodjeli sredstava beskamatnog zajma JLP(R)S.</w:t>
      </w:r>
    </w:p>
    <w:p w14:paraId="30E692A5" w14:textId="77777777" w:rsidR="00100CF5" w:rsidRPr="00B852EF" w:rsidRDefault="00100CF5" w:rsidP="00100CF5">
      <w:pPr>
        <w:tabs>
          <w:tab w:val="decimal" w:pos="7380"/>
        </w:tabs>
        <w:jc w:val="both"/>
        <w:rPr>
          <w:color w:val="000000"/>
        </w:rPr>
      </w:pPr>
    </w:p>
    <w:p w14:paraId="33D1D6EA" w14:textId="0F4134ED" w:rsidR="00100CF5" w:rsidRPr="00B852EF" w:rsidRDefault="00100CF5" w:rsidP="00100CF5">
      <w:pPr>
        <w:tabs>
          <w:tab w:val="decimal" w:pos="7380"/>
        </w:tabs>
        <w:jc w:val="both"/>
        <w:rPr>
          <w:color w:val="000000"/>
        </w:rPr>
      </w:pPr>
      <w:r w:rsidRPr="00B852EF">
        <w:rPr>
          <w:color w:val="000000"/>
        </w:rPr>
        <w:t xml:space="preserve">Na temelju članka 30. Zakona o izvršavanju Državnog proračuna Republike Hrvatske </w:t>
      </w:r>
      <w:r w:rsidR="00422FDD">
        <w:rPr>
          <w:color w:val="000000"/>
        </w:rPr>
        <w:t xml:space="preserve">za 2021. </w:t>
      </w:r>
      <w:r w:rsidRPr="00B852EF">
        <w:rPr>
          <w:color w:val="000000"/>
        </w:rPr>
        <w:t>Vlada Republike Hrvatske je na sjednici održanoj 16. rujna 2021. donijela Odluku o dodjeli beskamatnog zajma jedinicama lokalne i područne (regionalne) samouprave</w:t>
      </w:r>
      <w:r w:rsidR="00422FDD">
        <w:rPr>
          <w:color w:val="000000"/>
        </w:rPr>
        <w:t xml:space="preserve"> (dalje u tekstu: JLP(R)S)</w:t>
      </w:r>
      <w:r w:rsidRPr="00B852EF">
        <w:rPr>
          <w:color w:val="000000"/>
        </w:rPr>
        <w:t xml:space="preserve"> koje su pogođene posljedicama razornih potresa na području Grada Zagreba, Zagrebačke županije, Krapinsko-zagorske županije, Sisačko-moslavačke županije i Karlovačke županije za sanaciju šteta od potresa (Narodne novine, br. 101/21)</w:t>
      </w:r>
      <w:r w:rsidR="00422FDD">
        <w:rPr>
          <w:color w:val="000000"/>
        </w:rPr>
        <w:t xml:space="preserve"> </w:t>
      </w:r>
      <w:r w:rsidRPr="00B852EF">
        <w:rPr>
          <w:color w:val="000000"/>
        </w:rPr>
        <w:t xml:space="preserve">(dalje u tekstu; Odluka). Ovom Odlukom uređuje se dodjela beskamatnog zajma JLP(R)S koje su pogođene posljedicama razornih potresa na navedenim područjima te način i kriteriji za podnošenje zahtjeva, isplata i način povrata zajma. JLP(R)S koje su pogođene posljedicama razornih potresa mogla su se dodijeliti sredstva </w:t>
      </w:r>
      <w:r w:rsidRPr="00B852EF">
        <w:rPr>
          <w:color w:val="000000"/>
        </w:rPr>
        <w:lastRenderedPageBreak/>
        <w:t>beskamatnog zajma u uku</w:t>
      </w:r>
      <w:r w:rsidR="00F44758">
        <w:rPr>
          <w:color w:val="000000"/>
        </w:rPr>
        <w:t>pnom iznosu do 400.000.000,00 kuna</w:t>
      </w:r>
      <w:r w:rsidRPr="00B852EF">
        <w:rPr>
          <w:color w:val="000000"/>
        </w:rPr>
        <w:t xml:space="preserve">, a iznos sredstava beskamatnog zajma po pojedinoj </w:t>
      </w:r>
      <w:r w:rsidR="00D42A73" w:rsidRPr="00D42A73">
        <w:rPr>
          <w:color w:val="000000"/>
        </w:rPr>
        <w:t>JLP(R)S</w:t>
      </w:r>
      <w:r w:rsidRPr="00B852EF">
        <w:rPr>
          <w:color w:val="000000"/>
        </w:rPr>
        <w:t xml:space="preserve"> utvrdilo je Povjerenstvo.</w:t>
      </w:r>
    </w:p>
    <w:p w14:paraId="7CC39F1C" w14:textId="77777777" w:rsidR="00100CF5" w:rsidRPr="00B852EF" w:rsidRDefault="00100CF5" w:rsidP="00100CF5">
      <w:pPr>
        <w:tabs>
          <w:tab w:val="decimal" w:pos="7380"/>
        </w:tabs>
        <w:jc w:val="both"/>
        <w:rPr>
          <w:color w:val="000000"/>
        </w:rPr>
      </w:pPr>
    </w:p>
    <w:p w14:paraId="142E9631" w14:textId="55277AC1" w:rsidR="00100CF5" w:rsidRPr="00B852EF" w:rsidRDefault="00100CF5" w:rsidP="00100CF5">
      <w:pPr>
        <w:tabs>
          <w:tab w:val="decimal" w:pos="7380"/>
        </w:tabs>
        <w:jc w:val="both"/>
        <w:rPr>
          <w:color w:val="000000"/>
        </w:rPr>
      </w:pPr>
      <w:r w:rsidRPr="00B852EF">
        <w:rPr>
          <w:color w:val="000000"/>
        </w:rPr>
        <w:t>Temeljem Odluke Povjerenstva u 2021. ispla</w:t>
      </w:r>
      <w:r w:rsidR="00F44758">
        <w:rPr>
          <w:color w:val="000000"/>
        </w:rPr>
        <w:t>ćeno je ukupno 360.200.000,00 kuna</w:t>
      </w:r>
      <w:r w:rsidRPr="00B852EF">
        <w:rPr>
          <w:color w:val="000000"/>
        </w:rPr>
        <w:t xml:space="preserve"> sredstava beskamatnog zajma po zahtjevima navedenih </w:t>
      </w:r>
      <w:r w:rsidR="00422FDD" w:rsidRPr="00B852EF">
        <w:rPr>
          <w:color w:val="000000"/>
        </w:rPr>
        <w:t>JLP(R)S</w:t>
      </w:r>
      <w:r w:rsidRPr="00B852EF">
        <w:rPr>
          <w:color w:val="000000"/>
        </w:rPr>
        <w:t>.</w:t>
      </w:r>
    </w:p>
    <w:p w14:paraId="6A266508" w14:textId="77777777" w:rsidR="00100CF5" w:rsidRPr="00B852EF" w:rsidRDefault="00100CF5" w:rsidP="00100CF5">
      <w:pPr>
        <w:tabs>
          <w:tab w:val="decimal" w:pos="7380"/>
        </w:tabs>
        <w:jc w:val="both"/>
        <w:rPr>
          <w:color w:val="000000"/>
        </w:rPr>
      </w:pPr>
    </w:p>
    <w:p w14:paraId="5A449EB4" w14:textId="55305061" w:rsidR="00100CF5" w:rsidRPr="00B852EF" w:rsidRDefault="00100CF5" w:rsidP="00100CF5">
      <w:pPr>
        <w:tabs>
          <w:tab w:val="decimal" w:pos="7380"/>
        </w:tabs>
        <w:jc w:val="both"/>
        <w:rPr>
          <w:color w:val="000000"/>
        </w:rPr>
      </w:pPr>
      <w:r w:rsidRPr="00B852EF">
        <w:rPr>
          <w:color w:val="000000"/>
        </w:rPr>
        <w:t>Nadalje, sukladno članku 30. Zakona o izvršavanju Državnog proračuna Repu</w:t>
      </w:r>
      <w:r w:rsidR="00422FDD">
        <w:rPr>
          <w:color w:val="000000"/>
        </w:rPr>
        <w:t>blike Hrvatske za 2021. godinu</w:t>
      </w:r>
      <w:r w:rsidRPr="00B852EF">
        <w:rPr>
          <w:color w:val="000000"/>
        </w:rPr>
        <w:t xml:space="preserve"> Vlada Republike Hrvatske donijela je na sjednici održanoj 10. prosinca 2021. godine Odluku o dodjeli beskamatnog zajma </w:t>
      </w:r>
      <w:r w:rsidR="00422FDD" w:rsidRPr="00422FDD">
        <w:rPr>
          <w:color w:val="000000"/>
        </w:rPr>
        <w:t>JLP(R)S</w:t>
      </w:r>
      <w:r w:rsidRPr="00B852EF">
        <w:rPr>
          <w:color w:val="000000"/>
        </w:rPr>
        <w:t xml:space="preserve"> uslijed pada prihoda (dalje u tekstu: Odluk</w:t>
      </w:r>
      <w:r w:rsidR="00422FDD">
        <w:rPr>
          <w:color w:val="000000"/>
        </w:rPr>
        <w:t>a)</w:t>
      </w:r>
      <w:r w:rsidRPr="00B852EF">
        <w:rPr>
          <w:color w:val="000000"/>
        </w:rPr>
        <w:t xml:space="preserve">. Odlukom </w:t>
      </w:r>
      <w:r w:rsidR="00422FDD" w:rsidRPr="00B852EF">
        <w:rPr>
          <w:color w:val="000000"/>
        </w:rPr>
        <w:t xml:space="preserve">se </w:t>
      </w:r>
      <w:r w:rsidRPr="00B852EF">
        <w:rPr>
          <w:color w:val="000000"/>
        </w:rPr>
        <w:t xml:space="preserve">uređuje dodjela beskamatnog zajma te način i kriteriji za isplatu sredstava </w:t>
      </w:r>
      <w:r w:rsidR="00422FDD" w:rsidRPr="00422FDD">
        <w:rPr>
          <w:color w:val="000000"/>
        </w:rPr>
        <w:t>JLP(R)S</w:t>
      </w:r>
      <w:r w:rsidRPr="00B852EF">
        <w:rPr>
          <w:color w:val="000000"/>
        </w:rPr>
        <w:t xml:space="preserve"> koje imaju pad prihoda u 2021. godini u odnosu na 2019. godinu (u razdoblju od 1. siječnja do 30. rujna), kao i način povrata zajma.</w:t>
      </w:r>
    </w:p>
    <w:p w14:paraId="761818CD" w14:textId="77777777" w:rsidR="00100CF5" w:rsidRPr="00B852EF" w:rsidRDefault="00100CF5" w:rsidP="00100CF5">
      <w:pPr>
        <w:tabs>
          <w:tab w:val="decimal" w:pos="7380"/>
        </w:tabs>
        <w:jc w:val="both"/>
        <w:rPr>
          <w:color w:val="000000"/>
        </w:rPr>
      </w:pPr>
    </w:p>
    <w:p w14:paraId="1589557B" w14:textId="49DEC3B7" w:rsidR="00100CF5" w:rsidRPr="00B852EF" w:rsidRDefault="00100CF5" w:rsidP="00100CF5">
      <w:pPr>
        <w:tabs>
          <w:tab w:val="decimal" w:pos="7380"/>
        </w:tabs>
        <w:jc w:val="both"/>
        <w:rPr>
          <w:color w:val="000000"/>
        </w:rPr>
      </w:pPr>
      <w:r w:rsidRPr="00B852EF">
        <w:rPr>
          <w:color w:val="000000"/>
        </w:rPr>
        <w:t>Sredstva zajma isplaćena korisnicima zajma u skladu s odredbama ove Odluke korisnici zajma su dužni vratiti na račun državnog proračuna najkasnije u roku od tri godine od dana isplate sredstava zajma iz državnog proračuna. Do 31. prosinca 2021. beskamatni zajam temeljem ove Odluke zatražile su 24 JLP(R)S (1 županija, 8 gradova i 15 općina). Istima je do 31. prosinca 2021. i</w:t>
      </w:r>
      <w:r w:rsidR="00F44758">
        <w:rPr>
          <w:color w:val="000000"/>
        </w:rPr>
        <w:t>splaćeno ukupno 66.200.000,00 kuna</w:t>
      </w:r>
      <w:r w:rsidRPr="00B852EF">
        <w:rPr>
          <w:color w:val="000000"/>
        </w:rPr>
        <w:t xml:space="preserve"> beskamatnog zajma. </w:t>
      </w:r>
    </w:p>
    <w:p w14:paraId="7FD38778" w14:textId="77777777" w:rsidR="00100CF5" w:rsidRPr="00B852EF" w:rsidRDefault="00100CF5" w:rsidP="00100CF5">
      <w:pPr>
        <w:tabs>
          <w:tab w:val="decimal" w:pos="7380"/>
        </w:tabs>
        <w:jc w:val="both"/>
        <w:rPr>
          <w:color w:val="000000"/>
        </w:rPr>
      </w:pPr>
    </w:p>
    <w:p w14:paraId="50A10D59" w14:textId="486D0B14" w:rsidR="00100CF5" w:rsidRPr="00B852EF" w:rsidRDefault="00100CF5" w:rsidP="00100CF5">
      <w:pPr>
        <w:tabs>
          <w:tab w:val="decimal" w:pos="7380"/>
        </w:tabs>
        <w:jc w:val="both"/>
        <w:rPr>
          <w:color w:val="000000"/>
        </w:rPr>
      </w:pPr>
      <w:r w:rsidRPr="00B852EF">
        <w:rPr>
          <w:color w:val="000000"/>
        </w:rPr>
        <w:t xml:space="preserve">Ukoliko </w:t>
      </w:r>
      <w:r w:rsidR="002A4546" w:rsidRPr="002A4546">
        <w:rPr>
          <w:color w:val="000000"/>
        </w:rPr>
        <w:t xml:space="preserve">JLP(R)S </w:t>
      </w:r>
      <w:r w:rsidRPr="00B852EF">
        <w:rPr>
          <w:color w:val="000000"/>
        </w:rPr>
        <w:t xml:space="preserve">na računu poreza na dohodak od 10. svibnja do 31. prosinca 2021. nije imala dovoljno sredstava za izvršenje povrata poreza na dohodak i prireza porezu na dohodak po godišnjoj prijavi za 2020. godinu, nedostajuća sredstva namirena su na teret računa državnog proračuna temeljem Naputka o načinu uplaćivanja prihoda proračuna, obveznih doprinosa te prihoda za financiranje drugih javnih potreba u 2021. godini (Narodne novine, br. 11/21, 49/21 i 73/21). </w:t>
      </w:r>
      <w:r w:rsidR="002A4546" w:rsidRPr="002A4546">
        <w:rPr>
          <w:color w:val="000000"/>
        </w:rPr>
        <w:t xml:space="preserve">JLP(R)S </w:t>
      </w:r>
      <w:r w:rsidRPr="00B852EF">
        <w:rPr>
          <w:color w:val="000000"/>
        </w:rPr>
        <w:t xml:space="preserve">su sredstva korištena za izvršenje povrata na računu poreza na dohodak i prireza porezu na dohodak vraćale u razdoblju od 1. kolovoza do 31. prosinca 2021. na račun državnog proračuna u visini 25% raspoloživih sredstava na računu poreza na dohodak i prireza porezu na dohodak. Ukoliko sredstva na dan 31. prosinca 2021. nisu vraćena u cijelosti, vraćaju se u četiri jednake mjesečne rate u 2022. godini počevši od siječnja 2022. godine. </w:t>
      </w:r>
    </w:p>
    <w:p w14:paraId="4D89FBFA" w14:textId="77777777" w:rsidR="00100CF5" w:rsidRPr="00B852EF" w:rsidRDefault="00100CF5" w:rsidP="00100CF5">
      <w:pPr>
        <w:tabs>
          <w:tab w:val="decimal" w:pos="7380"/>
        </w:tabs>
        <w:jc w:val="both"/>
        <w:rPr>
          <w:color w:val="000000"/>
        </w:rPr>
      </w:pPr>
    </w:p>
    <w:p w14:paraId="3076414E" w14:textId="77777777" w:rsidR="00C93A15" w:rsidRDefault="00100CF5" w:rsidP="00100CF5">
      <w:pPr>
        <w:tabs>
          <w:tab w:val="decimal" w:pos="7380"/>
        </w:tabs>
        <w:jc w:val="both"/>
        <w:rPr>
          <w:color w:val="000000"/>
        </w:rPr>
      </w:pPr>
      <w:r w:rsidRPr="00B852EF">
        <w:rPr>
          <w:color w:val="000000"/>
        </w:rPr>
        <w:t>U 2021. godini u okviru danih zajmova županijskim proračunima iska</w:t>
      </w:r>
      <w:r w:rsidR="00F44758">
        <w:rPr>
          <w:color w:val="000000"/>
        </w:rPr>
        <w:t>zano je ukupno 117.700.000,00 kuna</w:t>
      </w:r>
      <w:r w:rsidRPr="00B852EF">
        <w:rPr>
          <w:color w:val="000000"/>
        </w:rPr>
        <w:t>, a odnosi se na dane zajmove županijskim proračunima temeljem</w:t>
      </w:r>
      <w:r w:rsidR="00C93A15">
        <w:rPr>
          <w:color w:val="000000"/>
        </w:rPr>
        <w:t>:</w:t>
      </w:r>
    </w:p>
    <w:p w14:paraId="7BF8236E" w14:textId="10CD964C" w:rsidR="00C93A15" w:rsidRDefault="00100CF5" w:rsidP="00C93A15">
      <w:pPr>
        <w:pStyle w:val="Odlomakpopisa"/>
        <w:numPr>
          <w:ilvl w:val="0"/>
          <w:numId w:val="15"/>
        </w:numPr>
        <w:tabs>
          <w:tab w:val="decimal" w:pos="7380"/>
        </w:tabs>
        <w:jc w:val="both"/>
        <w:rPr>
          <w:color w:val="000000"/>
        </w:rPr>
      </w:pPr>
      <w:r w:rsidRPr="00C93A15">
        <w:rPr>
          <w:color w:val="000000"/>
        </w:rPr>
        <w:t xml:space="preserve">Odluke o dodjeli beskamatnog zajma </w:t>
      </w:r>
      <w:r w:rsidR="002A4546" w:rsidRPr="00C93A15">
        <w:rPr>
          <w:color w:val="000000"/>
        </w:rPr>
        <w:t xml:space="preserve">JLP(R)S </w:t>
      </w:r>
      <w:r w:rsidRPr="00C93A15">
        <w:rPr>
          <w:color w:val="000000"/>
        </w:rPr>
        <w:t>koje su pogođene posljedicama razornih potresa na području Grada Zagreba, Zagrebačke županije, Krapinsko-zagorske županije, Sisačko-moslavačke županije i Karlovačk</w:t>
      </w:r>
      <w:r w:rsidR="00C93A15">
        <w:rPr>
          <w:color w:val="000000"/>
        </w:rPr>
        <w:t>e županije</w:t>
      </w:r>
      <w:r w:rsidR="00F44758" w:rsidRPr="00C93A15">
        <w:rPr>
          <w:color w:val="000000"/>
        </w:rPr>
        <w:t xml:space="preserve"> u iznosu od 111.000.000,00 kuna</w:t>
      </w:r>
      <w:r w:rsidRPr="00C93A15">
        <w:rPr>
          <w:color w:val="000000"/>
        </w:rPr>
        <w:t xml:space="preserve"> i </w:t>
      </w:r>
    </w:p>
    <w:p w14:paraId="7B1FEEF9" w14:textId="2FE4B052" w:rsidR="00100CF5" w:rsidRPr="00C93A15" w:rsidRDefault="00100CF5" w:rsidP="00C93A15">
      <w:pPr>
        <w:pStyle w:val="Odlomakpopisa"/>
        <w:numPr>
          <w:ilvl w:val="0"/>
          <w:numId w:val="15"/>
        </w:numPr>
        <w:tabs>
          <w:tab w:val="decimal" w:pos="7380"/>
        </w:tabs>
        <w:jc w:val="both"/>
        <w:rPr>
          <w:color w:val="000000"/>
        </w:rPr>
      </w:pPr>
      <w:r w:rsidRPr="00C93A15">
        <w:rPr>
          <w:color w:val="000000"/>
        </w:rPr>
        <w:t xml:space="preserve">Odluke o dodjeli beskamatnog zajma </w:t>
      </w:r>
      <w:r w:rsidR="00C93A15" w:rsidRPr="00C93A15">
        <w:rPr>
          <w:color w:val="000000"/>
        </w:rPr>
        <w:t xml:space="preserve">JLP(R)S </w:t>
      </w:r>
      <w:r w:rsidR="00C93A15">
        <w:rPr>
          <w:color w:val="000000"/>
        </w:rPr>
        <w:t xml:space="preserve">uslijed pada prihoda </w:t>
      </w:r>
      <w:r w:rsidR="00F44758" w:rsidRPr="00C93A15">
        <w:rPr>
          <w:color w:val="000000"/>
        </w:rPr>
        <w:t>u iznosu od 6.700.000,00 kuna</w:t>
      </w:r>
      <w:r w:rsidRPr="00C93A15">
        <w:rPr>
          <w:color w:val="000000"/>
        </w:rPr>
        <w:t>.</w:t>
      </w:r>
    </w:p>
    <w:p w14:paraId="0AF9A321" w14:textId="77777777" w:rsidR="00100CF5" w:rsidRPr="00B852EF" w:rsidRDefault="00100CF5" w:rsidP="00100CF5">
      <w:pPr>
        <w:tabs>
          <w:tab w:val="decimal" w:pos="7380"/>
        </w:tabs>
        <w:jc w:val="both"/>
        <w:rPr>
          <w:color w:val="000000"/>
        </w:rPr>
      </w:pPr>
    </w:p>
    <w:p w14:paraId="131FCC5B" w14:textId="094CC607" w:rsidR="00100CF5" w:rsidRPr="00B852EF" w:rsidRDefault="00100CF5" w:rsidP="00100CF5">
      <w:pPr>
        <w:tabs>
          <w:tab w:val="decimal" w:pos="7380"/>
        </w:tabs>
        <w:jc w:val="both"/>
        <w:rPr>
          <w:color w:val="000000"/>
        </w:rPr>
      </w:pPr>
      <w:r w:rsidRPr="00B852EF">
        <w:rPr>
          <w:color w:val="000000"/>
        </w:rPr>
        <w:t>U okviru danih zajmova gradskim proračunima is</w:t>
      </w:r>
      <w:r w:rsidR="00F44758">
        <w:rPr>
          <w:color w:val="000000"/>
        </w:rPr>
        <w:t>kazan je iznos 284.901.934,72 kune</w:t>
      </w:r>
      <w:r w:rsidRPr="00B852EF">
        <w:rPr>
          <w:color w:val="000000"/>
        </w:rPr>
        <w:t>, a odnosi se na dane zajmove gradskim proračunima temeljem:</w:t>
      </w:r>
    </w:p>
    <w:p w14:paraId="45EF8950" w14:textId="7829577C" w:rsidR="00100CF5" w:rsidRPr="00B852EF" w:rsidRDefault="00100CF5" w:rsidP="00C93A15">
      <w:pPr>
        <w:pStyle w:val="Odlomakpopisa"/>
        <w:numPr>
          <w:ilvl w:val="0"/>
          <w:numId w:val="12"/>
        </w:numPr>
        <w:tabs>
          <w:tab w:val="decimal" w:pos="7380"/>
        </w:tabs>
        <w:jc w:val="both"/>
        <w:rPr>
          <w:color w:val="000000"/>
        </w:rPr>
      </w:pPr>
      <w:r w:rsidRPr="00B852EF">
        <w:rPr>
          <w:color w:val="000000"/>
        </w:rPr>
        <w:t xml:space="preserve">Odluke o dodjeli beskamatnog zajma </w:t>
      </w:r>
      <w:r w:rsidR="00C93A15" w:rsidRPr="00C93A15">
        <w:rPr>
          <w:color w:val="000000"/>
        </w:rPr>
        <w:t>JLP(R)S</w:t>
      </w:r>
      <w:r w:rsidRPr="00B852EF">
        <w:rPr>
          <w:color w:val="000000"/>
        </w:rPr>
        <w:t xml:space="preserve"> koje su pogođene posljedicama razornih potresa na području Grada Zagreba, Zagrebačke županije, Krapinsko-zagorske županije, Sisačko-moslavačke županije i Karlovačke županije u</w:t>
      </w:r>
      <w:r w:rsidR="00F44758">
        <w:rPr>
          <w:color w:val="000000"/>
        </w:rPr>
        <w:t xml:space="preserve"> iznosu od 239.300.000,00 kuna</w:t>
      </w:r>
      <w:r w:rsidRPr="00B852EF">
        <w:rPr>
          <w:color w:val="000000"/>
        </w:rPr>
        <w:t>,</w:t>
      </w:r>
    </w:p>
    <w:p w14:paraId="11739C21" w14:textId="5A752BD7" w:rsidR="00100CF5" w:rsidRPr="00B852EF" w:rsidRDefault="00100CF5" w:rsidP="00C93A15">
      <w:pPr>
        <w:pStyle w:val="Odlomakpopisa"/>
        <w:numPr>
          <w:ilvl w:val="0"/>
          <w:numId w:val="12"/>
        </w:numPr>
        <w:tabs>
          <w:tab w:val="decimal" w:pos="7380"/>
        </w:tabs>
        <w:jc w:val="both"/>
        <w:rPr>
          <w:color w:val="000000"/>
        </w:rPr>
      </w:pPr>
      <w:r w:rsidRPr="00B852EF">
        <w:rPr>
          <w:color w:val="000000"/>
        </w:rPr>
        <w:t xml:space="preserve">Odluke o dodjeli beskamatnog zajma </w:t>
      </w:r>
      <w:r w:rsidR="00C93A15" w:rsidRPr="00C93A15">
        <w:rPr>
          <w:color w:val="000000"/>
        </w:rPr>
        <w:t>JLP(R)S</w:t>
      </w:r>
      <w:r w:rsidRPr="00B852EF">
        <w:rPr>
          <w:color w:val="000000"/>
        </w:rPr>
        <w:t xml:space="preserve"> uslijed pada prih</w:t>
      </w:r>
      <w:r w:rsidR="00F44758">
        <w:rPr>
          <w:color w:val="000000"/>
        </w:rPr>
        <w:t>oda u iznosu od 41.900.000,00 kuna</w:t>
      </w:r>
      <w:r w:rsidRPr="00B852EF">
        <w:rPr>
          <w:color w:val="000000"/>
        </w:rPr>
        <w:t xml:space="preserve"> i </w:t>
      </w:r>
    </w:p>
    <w:p w14:paraId="1B395E34" w14:textId="64272F8B" w:rsidR="00100CF5" w:rsidRPr="00B852EF" w:rsidRDefault="00100CF5" w:rsidP="00F035F7">
      <w:pPr>
        <w:pStyle w:val="Odlomakpopisa"/>
        <w:numPr>
          <w:ilvl w:val="0"/>
          <w:numId w:val="12"/>
        </w:numPr>
        <w:tabs>
          <w:tab w:val="decimal" w:pos="7380"/>
        </w:tabs>
        <w:jc w:val="both"/>
        <w:rPr>
          <w:color w:val="000000"/>
        </w:rPr>
      </w:pPr>
      <w:r w:rsidRPr="00B852EF">
        <w:rPr>
          <w:color w:val="000000"/>
        </w:rPr>
        <w:t xml:space="preserve">Ugovora o zajmu za sufinanciranje EU projekata Izgradnja regionalnog centra za gospodarenje otpadom </w:t>
      </w:r>
      <w:proofErr w:type="spellStart"/>
      <w:r w:rsidRPr="00B852EF">
        <w:rPr>
          <w:color w:val="000000"/>
        </w:rPr>
        <w:t>Bikarac</w:t>
      </w:r>
      <w:proofErr w:type="spellEnd"/>
      <w:r w:rsidRPr="00B852EF">
        <w:rPr>
          <w:color w:val="000000"/>
        </w:rPr>
        <w:t xml:space="preserve"> faza II u okviru OP Okoliš između Republike Hrvatske i Grada Šibe</w:t>
      </w:r>
      <w:r w:rsidR="00F44758">
        <w:rPr>
          <w:color w:val="000000"/>
        </w:rPr>
        <w:t>nika u iznosu od 3.701.934,72 kuna</w:t>
      </w:r>
      <w:r w:rsidRPr="00B852EF">
        <w:rPr>
          <w:color w:val="000000"/>
        </w:rPr>
        <w:t xml:space="preserve">. </w:t>
      </w:r>
    </w:p>
    <w:p w14:paraId="02DFBDEC" w14:textId="77777777" w:rsidR="00100CF5" w:rsidRPr="00B852EF" w:rsidRDefault="00100CF5" w:rsidP="00100CF5">
      <w:pPr>
        <w:tabs>
          <w:tab w:val="decimal" w:pos="7380"/>
        </w:tabs>
        <w:jc w:val="both"/>
        <w:rPr>
          <w:color w:val="000000"/>
        </w:rPr>
      </w:pPr>
    </w:p>
    <w:p w14:paraId="5C85AFB8" w14:textId="0D802940" w:rsidR="00100CF5" w:rsidRPr="00B852EF" w:rsidRDefault="00100CF5" w:rsidP="00100CF5">
      <w:pPr>
        <w:tabs>
          <w:tab w:val="decimal" w:pos="7380"/>
        </w:tabs>
        <w:jc w:val="both"/>
        <w:rPr>
          <w:color w:val="000000"/>
        </w:rPr>
      </w:pPr>
      <w:r w:rsidRPr="00B852EF">
        <w:rPr>
          <w:color w:val="000000"/>
        </w:rPr>
        <w:t>Nadalje, u okviru danih zajmova općinskim proračunima u 2021. godini iska</w:t>
      </w:r>
      <w:r w:rsidR="00F44758">
        <w:rPr>
          <w:color w:val="000000"/>
        </w:rPr>
        <w:t>zan je iznos od 87.188.157,00 kuna</w:t>
      </w:r>
      <w:r w:rsidRPr="00B852EF">
        <w:rPr>
          <w:color w:val="000000"/>
        </w:rPr>
        <w:t>, a odnosi se na dane zajmove općinskim proračunima temeljem:</w:t>
      </w:r>
    </w:p>
    <w:p w14:paraId="0FB30D66" w14:textId="366F710B" w:rsidR="00100CF5" w:rsidRPr="00B852EF" w:rsidRDefault="00100CF5" w:rsidP="00C93A15">
      <w:pPr>
        <w:pStyle w:val="Odlomakpopisa"/>
        <w:numPr>
          <w:ilvl w:val="0"/>
          <w:numId w:val="13"/>
        </w:numPr>
        <w:tabs>
          <w:tab w:val="decimal" w:pos="7380"/>
        </w:tabs>
        <w:jc w:val="both"/>
        <w:rPr>
          <w:color w:val="000000"/>
        </w:rPr>
      </w:pPr>
      <w:r w:rsidRPr="00B852EF">
        <w:rPr>
          <w:color w:val="000000"/>
        </w:rPr>
        <w:lastRenderedPageBreak/>
        <w:t xml:space="preserve">Odluke o dodjeli beskamatnog zajma </w:t>
      </w:r>
      <w:r w:rsidR="00C93A15" w:rsidRPr="00C93A15">
        <w:rPr>
          <w:color w:val="000000"/>
        </w:rPr>
        <w:t>JLP(R)S</w:t>
      </w:r>
      <w:r w:rsidRPr="00B852EF">
        <w:rPr>
          <w:color w:val="000000"/>
        </w:rPr>
        <w:t xml:space="preserve"> koje su pogođene posljedicama razornih potresa na području Grada Zagreba, Zagrebačke županije, Krapinsko-zagorske županije, Sisačko-moslavačke županije i Karlovačke župa</w:t>
      </w:r>
      <w:r w:rsidR="00F44758">
        <w:rPr>
          <w:color w:val="000000"/>
        </w:rPr>
        <w:t>nije u iznosu od 9.900.000,00 kuna</w:t>
      </w:r>
      <w:r w:rsidRPr="00B852EF">
        <w:rPr>
          <w:color w:val="000000"/>
        </w:rPr>
        <w:t>,</w:t>
      </w:r>
    </w:p>
    <w:p w14:paraId="6315CD95" w14:textId="4642819C" w:rsidR="00100CF5" w:rsidRPr="00B852EF" w:rsidRDefault="00100CF5" w:rsidP="00C93A15">
      <w:pPr>
        <w:pStyle w:val="Odlomakpopisa"/>
        <w:numPr>
          <w:ilvl w:val="0"/>
          <w:numId w:val="13"/>
        </w:numPr>
        <w:tabs>
          <w:tab w:val="decimal" w:pos="7380"/>
        </w:tabs>
        <w:jc w:val="both"/>
        <w:rPr>
          <w:color w:val="000000"/>
        </w:rPr>
      </w:pPr>
      <w:r w:rsidRPr="00B852EF">
        <w:rPr>
          <w:color w:val="000000"/>
        </w:rPr>
        <w:t xml:space="preserve">Odluke o dodjeli beskamatnog zajma </w:t>
      </w:r>
      <w:r w:rsidR="00C93A15">
        <w:rPr>
          <w:color w:val="000000"/>
        </w:rPr>
        <w:t xml:space="preserve">JLP(R)S </w:t>
      </w:r>
      <w:r w:rsidRPr="00B852EF">
        <w:rPr>
          <w:color w:val="000000"/>
        </w:rPr>
        <w:t>uslijed pada prih</w:t>
      </w:r>
      <w:r w:rsidR="00F44758">
        <w:rPr>
          <w:color w:val="000000"/>
        </w:rPr>
        <w:t>oda u iznosu od 17.600.000,00 kuna</w:t>
      </w:r>
      <w:r w:rsidRPr="00B852EF">
        <w:rPr>
          <w:color w:val="000000"/>
        </w:rPr>
        <w:t xml:space="preserve"> i </w:t>
      </w:r>
    </w:p>
    <w:p w14:paraId="567CAA90" w14:textId="48601AA0" w:rsidR="00100CF5" w:rsidRPr="00B852EF" w:rsidRDefault="00100CF5" w:rsidP="00F035F7">
      <w:pPr>
        <w:pStyle w:val="Odlomakpopisa"/>
        <w:numPr>
          <w:ilvl w:val="0"/>
          <w:numId w:val="13"/>
        </w:numPr>
        <w:tabs>
          <w:tab w:val="decimal" w:pos="7380"/>
        </w:tabs>
        <w:jc w:val="both"/>
        <w:rPr>
          <w:color w:val="000000"/>
        </w:rPr>
      </w:pPr>
      <w:r w:rsidRPr="00B852EF">
        <w:rPr>
          <w:color w:val="000000"/>
        </w:rPr>
        <w:t>Naputka o načinu uplaćivanja prihoda proračuna, obveznih doprinosa te prihoda za financiranje drugih javnih potreba u 2021. godini (namirenje nedostajućih sredstava za povrat poreza na dohotka po godišnjoj prijavi za 2020</w:t>
      </w:r>
      <w:r w:rsidR="00F44758">
        <w:rPr>
          <w:color w:val="000000"/>
        </w:rPr>
        <w:t xml:space="preserve">.– kratkoročno) </w:t>
      </w:r>
      <w:r w:rsidR="00C93A15">
        <w:rPr>
          <w:color w:val="000000"/>
        </w:rPr>
        <w:t xml:space="preserve">u iznosu od </w:t>
      </w:r>
      <w:r w:rsidR="00F44758">
        <w:rPr>
          <w:color w:val="000000"/>
        </w:rPr>
        <w:t>59.688.157,00 kuna</w:t>
      </w:r>
      <w:r w:rsidRPr="00B852EF">
        <w:rPr>
          <w:color w:val="000000"/>
        </w:rPr>
        <w:t xml:space="preserve"> (neto efekt).</w:t>
      </w:r>
    </w:p>
    <w:p w14:paraId="115E7B56" w14:textId="77777777" w:rsidR="00100CF5" w:rsidRPr="00100CF5" w:rsidRDefault="00100CF5" w:rsidP="00100CF5">
      <w:pPr>
        <w:tabs>
          <w:tab w:val="decimal" w:pos="7380"/>
        </w:tabs>
        <w:jc w:val="both"/>
        <w:rPr>
          <w:color w:val="000000"/>
          <w:highlight w:val="yellow"/>
        </w:rPr>
      </w:pPr>
    </w:p>
    <w:p w14:paraId="5338F450" w14:textId="6F13987D" w:rsidR="00100CF5" w:rsidRPr="00B852EF" w:rsidRDefault="00100CF5" w:rsidP="00100CF5">
      <w:pPr>
        <w:tabs>
          <w:tab w:val="decimal" w:pos="7380"/>
        </w:tabs>
        <w:jc w:val="both"/>
        <w:rPr>
          <w:color w:val="000000"/>
        </w:rPr>
      </w:pPr>
      <w:r w:rsidRPr="00B852EF">
        <w:rPr>
          <w:color w:val="000000"/>
        </w:rPr>
        <w:t>U 2021. godini u okviru izdataka za dane zajmove HZMO-u, HZZ-u i HZZO-u nije bilo izdataka po beskamatnim zajmovima Hrvatskom zavodu za zdravstveno osiguranje.</w:t>
      </w:r>
      <w:r w:rsidR="00F035F7" w:rsidRPr="00B852EF">
        <w:t xml:space="preserve"> </w:t>
      </w:r>
      <w:r w:rsidR="00F035F7" w:rsidRPr="00B852EF">
        <w:rPr>
          <w:color w:val="000000"/>
        </w:rPr>
        <w:t>U 2020. godini na AOP-u 553 ostvareno je 1.077.577.956 kuna. Navedeni izdaci odnose se na beskamatne zajmove isplaćen temeljem oslobođenja od doprinosa u skladu s Naputkom o načinu isplate beskamatnog zajma JLP(R)S, HZMO i HZZO-u, Hrvatskom zavodu za zdravstveno osiguranje koje je isti dužan vratiti u roku od tri godine, počevši od 2021. godine.</w:t>
      </w:r>
    </w:p>
    <w:p w14:paraId="52FEA318" w14:textId="77777777" w:rsidR="00BD4EF5" w:rsidRPr="003B30B6" w:rsidRDefault="00BD4EF5" w:rsidP="00BD4EF5">
      <w:pPr>
        <w:shd w:val="clear" w:color="auto" w:fill="FFFFFF"/>
        <w:rPr>
          <w:color w:val="000000"/>
        </w:rPr>
      </w:pPr>
    </w:p>
    <w:p w14:paraId="3E789B18" w14:textId="35B2E8AB" w:rsidR="00BD4EF5" w:rsidRPr="00B852EF" w:rsidRDefault="00B852EF" w:rsidP="00BD4EF5">
      <w:pPr>
        <w:keepNext/>
        <w:jc w:val="center"/>
        <w:rPr>
          <w:sz w:val="28"/>
          <w:szCs w:val="28"/>
        </w:rPr>
      </w:pPr>
      <w:r w:rsidRPr="00B852EF">
        <w:rPr>
          <w:sz w:val="28"/>
          <w:szCs w:val="28"/>
        </w:rPr>
        <w:t>Bilješka 4</w:t>
      </w:r>
      <w:r w:rsidR="00BD4EF5" w:rsidRPr="00B852EF">
        <w:rPr>
          <w:sz w:val="28"/>
          <w:szCs w:val="28"/>
        </w:rPr>
        <w:t>7.</w:t>
      </w:r>
    </w:p>
    <w:p w14:paraId="33E2AE9A" w14:textId="77777777" w:rsidR="00BD4EF5" w:rsidRPr="00B852EF" w:rsidRDefault="00BD4EF5" w:rsidP="00BD4EF5">
      <w:pPr>
        <w:shd w:val="clear" w:color="auto" w:fill="FFFFFF"/>
        <w:jc w:val="center"/>
        <w:rPr>
          <w:sz w:val="28"/>
          <w:szCs w:val="28"/>
        </w:rPr>
      </w:pPr>
      <w:r w:rsidRPr="00B852EF">
        <w:rPr>
          <w:sz w:val="28"/>
          <w:szCs w:val="28"/>
        </w:rPr>
        <w:t>AOP 575 Dionice i udjeli u glavnici kreditnih institucija u javnom sektoru</w:t>
      </w:r>
    </w:p>
    <w:p w14:paraId="1A511D58" w14:textId="557D4AE7" w:rsidR="00BD4EF5" w:rsidRPr="00B852EF" w:rsidRDefault="00BD4EF5" w:rsidP="00BD4EF5">
      <w:pPr>
        <w:shd w:val="clear" w:color="auto" w:fill="FFFFFF"/>
        <w:jc w:val="both"/>
        <w:rPr>
          <w:color w:val="000000"/>
        </w:rPr>
      </w:pPr>
      <w:r w:rsidRPr="00B852EF">
        <w:rPr>
          <w:color w:val="000000"/>
        </w:rPr>
        <w:t>Za osnivački kapital HBOR-a u svrhu</w:t>
      </w:r>
      <w:r w:rsidRPr="00B852EF">
        <w:t xml:space="preserve"> </w:t>
      </w:r>
      <w:r w:rsidRPr="00B852EF">
        <w:rPr>
          <w:color w:val="000000"/>
        </w:rPr>
        <w:t xml:space="preserve">poticanja izvoza, infrastrukture i gospodarskih djelatnosti te malog i srednjeg poduzetništva u 2021. izvršeno je </w:t>
      </w:r>
      <w:r w:rsidR="00C93A15">
        <w:rPr>
          <w:color w:val="000000"/>
        </w:rPr>
        <w:t>izdataka</w:t>
      </w:r>
      <w:r w:rsidRPr="00B852EF">
        <w:rPr>
          <w:color w:val="000000"/>
        </w:rPr>
        <w:t xml:space="preserve"> u iznosu 50 milijuna kuna. U odnosu na 2020. izdaci su povećani za 25 milijuna kuna.</w:t>
      </w:r>
    </w:p>
    <w:p w14:paraId="42C0BFEF" w14:textId="5BF503EF" w:rsidR="00BD4EF5" w:rsidRPr="00B852EF" w:rsidRDefault="00BD4EF5" w:rsidP="00D64617"/>
    <w:p w14:paraId="718AD67B" w14:textId="0884FCDA" w:rsidR="00BD4EF5" w:rsidRPr="00B852EF" w:rsidRDefault="00B852EF" w:rsidP="00BD4EF5">
      <w:pPr>
        <w:keepNext/>
        <w:jc w:val="center"/>
        <w:rPr>
          <w:sz w:val="28"/>
          <w:szCs w:val="28"/>
        </w:rPr>
      </w:pPr>
      <w:r w:rsidRPr="00B852EF">
        <w:rPr>
          <w:sz w:val="28"/>
          <w:szCs w:val="28"/>
        </w:rPr>
        <w:t>Bilješka 4</w:t>
      </w:r>
      <w:r w:rsidR="00BD4EF5" w:rsidRPr="00B852EF">
        <w:rPr>
          <w:sz w:val="28"/>
          <w:szCs w:val="28"/>
        </w:rPr>
        <w:t>8.</w:t>
      </w:r>
    </w:p>
    <w:p w14:paraId="76532C96" w14:textId="15ECD0DF" w:rsidR="00BD4EF5" w:rsidRPr="00B852EF" w:rsidRDefault="00F035F7" w:rsidP="00BD4EF5">
      <w:pPr>
        <w:shd w:val="clear" w:color="auto" w:fill="FFFFFF"/>
        <w:jc w:val="center"/>
        <w:rPr>
          <w:sz w:val="28"/>
          <w:szCs w:val="28"/>
        </w:rPr>
      </w:pPr>
      <w:r w:rsidRPr="00B852EF">
        <w:rPr>
          <w:sz w:val="28"/>
          <w:szCs w:val="28"/>
        </w:rPr>
        <w:t>AOP 579</w:t>
      </w:r>
      <w:r w:rsidR="00BD4EF5" w:rsidRPr="00B852EF">
        <w:rPr>
          <w:sz w:val="28"/>
          <w:szCs w:val="28"/>
        </w:rPr>
        <w:t xml:space="preserve"> Dionice i udjeli u glavnici trgovačkih društava u javnom sektoru</w:t>
      </w:r>
    </w:p>
    <w:p w14:paraId="6FE269A8" w14:textId="77777777" w:rsidR="00BD4EF5" w:rsidRPr="003B30B6" w:rsidRDefault="00BD4EF5" w:rsidP="00BD4EF5">
      <w:pPr>
        <w:jc w:val="both"/>
      </w:pPr>
      <w:r w:rsidRPr="00B852EF">
        <w:t xml:space="preserve">Sukladno Odluci Vlade Republike Hrvatske od 14. prosinca 2020. o odobrenju državne potpore društvu Croatia Airlines d.d. sukladno privremenom okviru Europske komisije kojim se državama članicama omogućuje dodatna pomoć gospodarstvu zbog </w:t>
      </w:r>
      <w:proofErr w:type="spellStart"/>
      <w:r w:rsidRPr="00B852EF">
        <w:t>pandemije</w:t>
      </w:r>
      <w:proofErr w:type="spellEnd"/>
      <w:r w:rsidRPr="00B852EF">
        <w:t xml:space="preserve"> COVID-19 dana je suglasnost za povećanje temeljnog kapitala društva Croatia Airlines d.d. koje je provedeno ulogom Republike Hrvatske u novcu u iznosu od 350.000.000 </w:t>
      </w:r>
      <w:r w:rsidRPr="00B852EF">
        <w:rPr>
          <w:bCs/>
        </w:rPr>
        <w:t>kuna</w:t>
      </w:r>
      <w:r w:rsidRPr="00B852EF">
        <w:t xml:space="preserve"> (izdavanjem novih 35.000.000 redovnih dionica na ime, nominalnog iznosa 10 </w:t>
      </w:r>
      <w:r w:rsidRPr="00B852EF">
        <w:rPr>
          <w:bCs/>
        </w:rPr>
        <w:t>kuna</w:t>
      </w:r>
      <w:r w:rsidRPr="00B852EF">
        <w:t xml:space="preserve"> po dionici). U 2021. na navedenom AOP-u nema evidentiranih izdataka.</w:t>
      </w:r>
    </w:p>
    <w:p w14:paraId="61A4DA2A" w14:textId="440A018C" w:rsidR="00BD4EF5" w:rsidRDefault="00BD4EF5" w:rsidP="00D64617"/>
    <w:p w14:paraId="5D732257" w14:textId="7C78579F" w:rsidR="00316F66" w:rsidRPr="00B852EF" w:rsidRDefault="00B852EF" w:rsidP="00316F66">
      <w:pPr>
        <w:keepNext/>
        <w:jc w:val="center"/>
        <w:rPr>
          <w:sz w:val="28"/>
          <w:szCs w:val="28"/>
        </w:rPr>
      </w:pPr>
      <w:r w:rsidRPr="00B852EF">
        <w:rPr>
          <w:sz w:val="28"/>
          <w:szCs w:val="28"/>
        </w:rPr>
        <w:t>Bilješka 4</w:t>
      </w:r>
      <w:r w:rsidR="00316F66" w:rsidRPr="00B852EF">
        <w:rPr>
          <w:sz w:val="28"/>
          <w:szCs w:val="28"/>
        </w:rPr>
        <w:t>9.</w:t>
      </w:r>
    </w:p>
    <w:p w14:paraId="084F94BF" w14:textId="5900DE19" w:rsidR="00316F66" w:rsidRPr="00B852EF" w:rsidRDefault="00316F66" w:rsidP="00B852EF">
      <w:pPr>
        <w:keepNext/>
        <w:jc w:val="center"/>
        <w:rPr>
          <w:sz w:val="28"/>
          <w:szCs w:val="28"/>
        </w:rPr>
      </w:pPr>
      <w:r w:rsidRPr="00B852EF">
        <w:rPr>
          <w:sz w:val="28"/>
          <w:szCs w:val="28"/>
        </w:rPr>
        <w:t>AOP 582 Dionice i udjeli u glavnici inozemnih kreditnih i ostalih financijskih institucija</w:t>
      </w:r>
    </w:p>
    <w:p w14:paraId="700A1151" w14:textId="42D75970" w:rsidR="00316F66" w:rsidRPr="00B852EF" w:rsidRDefault="00316F66" w:rsidP="00316F66">
      <w:pPr>
        <w:jc w:val="both"/>
      </w:pPr>
      <w:r w:rsidRPr="00B852EF">
        <w:t>U 2021. izdaci za dionice i udjeli u glavnici inozemnih kreditnih i ostalih financijskih institucija iznosili su 76,8 milijuna kuna. Od navedenog iznosa, najznačajniji iznos, 52,9 milijuna kuna, odnosi se na ulaganje Republike Hrvatske u Investicijski fond Inicijative triju mora temeljem Odluke Vlade Republike Hrvatske o ulaganju Republike Hrvatske u  Investicijski fond Inicijative triju mora od 14. listopada 2020. godine.</w:t>
      </w:r>
    </w:p>
    <w:p w14:paraId="5A8F05B0" w14:textId="77777777" w:rsidR="00F035F7" w:rsidRPr="00B852EF" w:rsidRDefault="00F035F7" w:rsidP="00316F66">
      <w:pPr>
        <w:jc w:val="both"/>
      </w:pPr>
    </w:p>
    <w:p w14:paraId="4D473787" w14:textId="3FCB2A7E" w:rsidR="00316F66" w:rsidRPr="00B852EF" w:rsidRDefault="00316F66" w:rsidP="00316F66">
      <w:pPr>
        <w:jc w:val="both"/>
      </w:pPr>
      <w:r w:rsidRPr="00B852EF">
        <w:t xml:space="preserve">U 2020. godini izdaci za dionice i udjele u glavnici inozemnih kreditnih i ostalih financijskih institucija iznosili su 136.927.218 </w:t>
      </w:r>
      <w:r w:rsidRPr="00B852EF">
        <w:rPr>
          <w:bCs/>
        </w:rPr>
        <w:t>kuna</w:t>
      </w:r>
      <w:r w:rsidR="00260ADB">
        <w:rPr>
          <w:bCs/>
        </w:rPr>
        <w:t>.</w:t>
      </w:r>
      <w:r w:rsidR="00260ADB">
        <w:t xml:space="preserve"> T</w:t>
      </w:r>
      <w:r w:rsidRPr="00B852EF">
        <w:t xml:space="preserve">emeljem Odluke Vlade Republike Hrvatske (Narodne novine, broj 136/2020) o sudjelovanju Republike Hrvatske u općem povećanju kapitala Međunarodne financijske korporacije prema kojem Republika Hrvatska ima pravo upisati 7.047 dionica, te je slijedom toga u 2020. godini isplaćeno 117.206.551,68 </w:t>
      </w:r>
      <w:r w:rsidRPr="00B852EF">
        <w:rPr>
          <w:bCs/>
        </w:rPr>
        <w:t>kuna</w:t>
      </w:r>
      <w:r w:rsidRPr="00B852EF">
        <w:t>.</w:t>
      </w:r>
    </w:p>
    <w:p w14:paraId="4EEA26FC" w14:textId="45ED34B4" w:rsidR="00316F66" w:rsidRPr="00B852EF" w:rsidRDefault="00316F66" w:rsidP="00D64617"/>
    <w:p w14:paraId="44E46385" w14:textId="77221377" w:rsidR="00316F66" w:rsidRPr="00B852EF" w:rsidRDefault="00B852EF" w:rsidP="00316F66">
      <w:pPr>
        <w:keepNext/>
        <w:jc w:val="center"/>
        <w:rPr>
          <w:sz w:val="28"/>
          <w:szCs w:val="28"/>
        </w:rPr>
      </w:pPr>
      <w:r w:rsidRPr="00B852EF">
        <w:rPr>
          <w:sz w:val="28"/>
          <w:szCs w:val="28"/>
        </w:rPr>
        <w:lastRenderedPageBreak/>
        <w:t>Bilješka 5</w:t>
      </w:r>
      <w:r w:rsidR="00316F66" w:rsidRPr="00B852EF">
        <w:rPr>
          <w:sz w:val="28"/>
          <w:szCs w:val="28"/>
        </w:rPr>
        <w:t>0.</w:t>
      </w:r>
    </w:p>
    <w:p w14:paraId="62C40DD8" w14:textId="06235574" w:rsidR="00316F66" w:rsidRPr="00B852EF" w:rsidRDefault="00316F66" w:rsidP="00B852EF">
      <w:pPr>
        <w:keepNext/>
        <w:jc w:val="center"/>
        <w:rPr>
          <w:sz w:val="28"/>
          <w:szCs w:val="28"/>
        </w:rPr>
      </w:pPr>
      <w:r w:rsidRPr="00B852EF">
        <w:rPr>
          <w:sz w:val="28"/>
          <w:szCs w:val="28"/>
        </w:rPr>
        <w:t>AOP 584 Dionice i udjeli u glavnici tuzemnih trgovačkih društava izvan javnog sektora</w:t>
      </w:r>
    </w:p>
    <w:p w14:paraId="5603FFF3" w14:textId="77777777" w:rsidR="00CD4ABE" w:rsidRPr="00B852EF" w:rsidRDefault="00316F66" w:rsidP="00CD4ABE">
      <w:pPr>
        <w:shd w:val="clear" w:color="auto" w:fill="FFFFFF"/>
        <w:jc w:val="both"/>
      </w:pPr>
      <w:r w:rsidRPr="00B852EF">
        <w:t xml:space="preserve">U 2021. godini ostvareni su izdaci za dionice i udjele u glavnici tuzemnih trgovačkih društava izvan javnog sektora u iznosu od 102,7 milijuna kuna, što se odnosi na naplatu potraživanja Republike Hrvatske stjecanjem poslovnih udjela društva Uljanik Brodogradnja 1856 d.o.o. </w:t>
      </w:r>
      <w:r w:rsidR="00CD4ABE" w:rsidRPr="00B852EF">
        <w:t xml:space="preserve">Dana 17. svibnja 2021. godine zaključen je Ugovor o unovčenju pokretnina opterećenih </w:t>
      </w:r>
      <w:proofErr w:type="spellStart"/>
      <w:r w:rsidR="00CD4ABE" w:rsidRPr="00B852EF">
        <w:t>razlučnim</w:t>
      </w:r>
      <w:proofErr w:type="spellEnd"/>
      <w:r w:rsidR="00CD4ABE" w:rsidRPr="00B852EF">
        <w:t xml:space="preserve"> pravom između Ministarstva financija i društva Uljanik Brodogradilište d.d. u stečaju. Navedenim Ugovorom izvršen je prijeboj tražbine Ministarstva financija na ime plaćenih državnih jamstava sa </w:t>
      </w:r>
      <w:proofErr w:type="spellStart"/>
      <w:r w:rsidR="00CD4ABE" w:rsidRPr="00B852EF">
        <w:t>protutražbinom</w:t>
      </w:r>
      <w:proofErr w:type="spellEnd"/>
      <w:r w:rsidR="00CD4ABE" w:rsidRPr="00B852EF">
        <w:t xml:space="preserve"> Uljanik Brodogradilišta d.d. u stečaju po osnovi utvrđene vrijednosti pokretnina u iznosu od 102.721.000,00 kuna.</w:t>
      </w:r>
    </w:p>
    <w:p w14:paraId="13C8BF14" w14:textId="77777777" w:rsidR="00CD4ABE" w:rsidRPr="00B852EF" w:rsidRDefault="00CD4ABE" w:rsidP="00CD4ABE">
      <w:pPr>
        <w:shd w:val="clear" w:color="auto" w:fill="FFFFFF"/>
        <w:jc w:val="both"/>
      </w:pPr>
    </w:p>
    <w:p w14:paraId="1653F5CE" w14:textId="018769C0" w:rsidR="00316F66" w:rsidRPr="00B852EF" w:rsidRDefault="00CD4ABE" w:rsidP="00CD4ABE">
      <w:pPr>
        <w:shd w:val="clear" w:color="auto" w:fill="FFFFFF"/>
        <w:jc w:val="both"/>
      </w:pPr>
      <w:r w:rsidRPr="00B852EF">
        <w:t>Nadal</w:t>
      </w:r>
      <w:r w:rsidR="00260ADB">
        <w:t>je, nakon stjecanja vlasništva</w:t>
      </w:r>
      <w:r w:rsidRPr="00B852EF">
        <w:t xml:space="preserve"> prethodno navedenih pokretnina, iste su sukladno Ugovoru o ulaganju stvari u društvo Uljanik Brodogradnja 1856 d.o.o. od 6. srpnja 2021. godine zaključenom između Ministarstva financija i Uljanik brodogradnje 1856 d.o.o., unesene u navedeno društvo u iznosu od 102.721.000,00 kuna tj. Ministarstvo financija je unosom pokretnina u društvo isto dokapitaliziralo i steklo poslovne udjele u društvu. Navedeni izdaci</w:t>
      </w:r>
      <w:r w:rsidR="00316F66" w:rsidRPr="00B852EF">
        <w:t xml:space="preserve"> predstavlja</w:t>
      </w:r>
      <w:r w:rsidRPr="00B852EF">
        <w:t>ju</w:t>
      </w:r>
      <w:r w:rsidR="00316F66" w:rsidRPr="00B852EF">
        <w:t xml:space="preserve"> povećanje </w:t>
      </w:r>
      <w:r w:rsidR="00F035F7" w:rsidRPr="00B852EF">
        <w:t xml:space="preserve">od </w:t>
      </w:r>
      <w:r w:rsidR="00316F66" w:rsidRPr="00B852EF">
        <w:t>555,5% u odnosu na ostvarenje u 2020. godini.</w:t>
      </w:r>
    </w:p>
    <w:p w14:paraId="2558BC75" w14:textId="77777777" w:rsidR="00CD4ABE" w:rsidRPr="00CD4ABE" w:rsidRDefault="00CD4ABE" w:rsidP="00CD4ABE">
      <w:pPr>
        <w:shd w:val="clear" w:color="auto" w:fill="FFFFFF"/>
        <w:jc w:val="both"/>
        <w:rPr>
          <w:highlight w:val="green"/>
        </w:rPr>
      </w:pPr>
    </w:p>
    <w:p w14:paraId="2E09AD9D" w14:textId="77777777" w:rsidR="00316F66" w:rsidRPr="00B852EF" w:rsidRDefault="00316F66" w:rsidP="00316F66">
      <w:pPr>
        <w:shd w:val="clear" w:color="auto" w:fill="FFFFFF"/>
        <w:jc w:val="both"/>
      </w:pPr>
      <w:r w:rsidRPr="00B852EF">
        <w:t xml:space="preserve">U 2020. godini ostvareno je 15.669.674 </w:t>
      </w:r>
      <w:r w:rsidRPr="00B852EF">
        <w:rPr>
          <w:bCs/>
        </w:rPr>
        <w:t>kune</w:t>
      </w:r>
      <w:r w:rsidRPr="00B852EF">
        <w:t>. Navedeni izdaci odnose se na naplatu dugova Republike Hrvatske preuzimanjem imovine slijedećih trgovačkih društava: BATIŽELA TEF d.d., FORTENOVA GRUPA d.d. (Jamnica) i HELIOS FAROS d.d.</w:t>
      </w:r>
    </w:p>
    <w:p w14:paraId="380BB74E" w14:textId="115356D9" w:rsidR="00316F66" w:rsidRPr="00B852EF" w:rsidRDefault="00316F66" w:rsidP="00D64617"/>
    <w:p w14:paraId="086B4013" w14:textId="77777777" w:rsidR="0048271A" w:rsidRPr="00B852EF" w:rsidRDefault="0048271A" w:rsidP="0048271A">
      <w:pPr>
        <w:shd w:val="clear" w:color="auto" w:fill="FFFFFF"/>
        <w:jc w:val="both"/>
      </w:pPr>
    </w:p>
    <w:p w14:paraId="1585CABC" w14:textId="28BAF6B6" w:rsidR="0048271A" w:rsidRPr="00B852EF" w:rsidRDefault="00B852EF" w:rsidP="0048271A">
      <w:pPr>
        <w:keepNext/>
        <w:jc w:val="center"/>
        <w:rPr>
          <w:sz w:val="28"/>
          <w:szCs w:val="28"/>
        </w:rPr>
      </w:pPr>
      <w:r w:rsidRPr="00B852EF">
        <w:rPr>
          <w:sz w:val="28"/>
          <w:szCs w:val="28"/>
        </w:rPr>
        <w:t>Bilješka 5</w:t>
      </w:r>
      <w:r w:rsidR="0048271A" w:rsidRPr="00B852EF">
        <w:rPr>
          <w:sz w:val="28"/>
          <w:szCs w:val="28"/>
        </w:rPr>
        <w:t>1.</w:t>
      </w:r>
    </w:p>
    <w:p w14:paraId="48BF39C1" w14:textId="4E5F5C25" w:rsidR="0048271A" w:rsidRPr="00B852EF" w:rsidRDefault="00CD4ABE" w:rsidP="0048271A">
      <w:pPr>
        <w:shd w:val="clear" w:color="auto" w:fill="FFFFFF"/>
        <w:jc w:val="center"/>
        <w:rPr>
          <w:sz w:val="28"/>
          <w:szCs w:val="28"/>
        </w:rPr>
      </w:pPr>
      <w:r w:rsidRPr="00B852EF">
        <w:rPr>
          <w:sz w:val="28"/>
          <w:szCs w:val="28"/>
        </w:rPr>
        <w:t>AOP 593</w:t>
      </w:r>
      <w:r w:rsidR="0048271A" w:rsidRPr="00B852EF">
        <w:rPr>
          <w:sz w:val="28"/>
          <w:szCs w:val="28"/>
        </w:rPr>
        <w:t xml:space="preserve"> Otplata glavnice primljenih kredita od kreditnih institucija u javnom sektoru</w:t>
      </w:r>
    </w:p>
    <w:p w14:paraId="6B178870" w14:textId="62C58CF2" w:rsidR="0048271A" w:rsidRPr="00B852EF" w:rsidRDefault="0051192A" w:rsidP="0048271A">
      <w:pPr>
        <w:shd w:val="clear" w:color="auto" w:fill="FFFFFF"/>
        <w:jc w:val="both"/>
      </w:pPr>
      <w:r w:rsidRPr="00B852EF">
        <w:t xml:space="preserve">U 2021. godini izdaci za otplate glavnica primljenih kredita od kreditnih institucija u javnom sektoru iznosili su 652.234.746 kuna i najvećim dijelom su se odnosili na otplate glavnice primljenih kredita od Hrvatske poštanske banke u iznosu od 576,5 milijuna kuna. </w:t>
      </w:r>
      <w:r w:rsidR="0048271A" w:rsidRPr="00B852EF">
        <w:t>U 2020.</w:t>
      </w:r>
      <w:r w:rsidRPr="00B852EF">
        <w:t xml:space="preserve"> izvršeni su značajno veći izdaci za otplate glavnica</w:t>
      </w:r>
      <w:r w:rsidR="0048271A" w:rsidRPr="00B852EF">
        <w:t xml:space="preserve"> </w:t>
      </w:r>
      <w:r w:rsidRPr="00B852EF">
        <w:t>u</w:t>
      </w:r>
      <w:r w:rsidR="0048271A" w:rsidRPr="00B852EF">
        <w:t xml:space="preserve"> iznos</w:t>
      </w:r>
      <w:r w:rsidRPr="00B852EF">
        <w:t>u</w:t>
      </w:r>
      <w:r w:rsidR="0048271A" w:rsidRPr="00B852EF">
        <w:t xml:space="preserve"> od 1.854.511.293 </w:t>
      </w:r>
      <w:r w:rsidR="0048271A" w:rsidRPr="00B852EF">
        <w:rPr>
          <w:bCs/>
        </w:rPr>
        <w:t>kune</w:t>
      </w:r>
      <w:r w:rsidRPr="00B852EF">
        <w:rPr>
          <w:bCs/>
        </w:rPr>
        <w:t>, a odnosili su se</w:t>
      </w:r>
      <w:r w:rsidR="0048271A" w:rsidRPr="00B852EF">
        <w:t xml:space="preserve"> </w:t>
      </w:r>
      <w:r w:rsidRPr="00B852EF">
        <w:t xml:space="preserve">najvećim dijelom na </w:t>
      </w:r>
      <w:r w:rsidR="0048271A" w:rsidRPr="00B852EF">
        <w:t>otplatu glavnice kredita HB</w:t>
      </w:r>
      <w:r w:rsidRPr="00B852EF">
        <w:t>OR-a u iznosu od 1,5 milijardi</w:t>
      </w:r>
      <w:r w:rsidR="00CD4ABE" w:rsidRPr="00B852EF">
        <w:t xml:space="preserve"> kuna.</w:t>
      </w:r>
    </w:p>
    <w:p w14:paraId="7D9AC2C3" w14:textId="77908EC2" w:rsidR="00CD4ABE" w:rsidRPr="00B852EF" w:rsidRDefault="00CD4ABE" w:rsidP="0048271A">
      <w:pPr>
        <w:shd w:val="clear" w:color="auto" w:fill="FFFFFF"/>
        <w:jc w:val="both"/>
      </w:pPr>
    </w:p>
    <w:p w14:paraId="7FC18F80" w14:textId="69D34A28" w:rsidR="00CD4ABE" w:rsidRPr="00B852EF" w:rsidRDefault="00CD4ABE" w:rsidP="00CD4ABE">
      <w:pPr>
        <w:keepNext/>
        <w:jc w:val="center"/>
        <w:rPr>
          <w:sz w:val="28"/>
          <w:szCs w:val="28"/>
        </w:rPr>
      </w:pPr>
      <w:r w:rsidRPr="00B852EF">
        <w:rPr>
          <w:sz w:val="28"/>
          <w:szCs w:val="28"/>
        </w:rPr>
        <w:t>Bilješka</w:t>
      </w:r>
      <w:r w:rsidR="00B852EF" w:rsidRPr="00B852EF">
        <w:rPr>
          <w:sz w:val="28"/>
          <w:szCs w:val="28"/>
        </w:rPr>
        <w:t xml:space="preserve"> 52.</w:t>
      </w:r>
    </w:p>
    <w:p w14:paraId="658DDC08" w14:textId="002B0AC0" w:rsidR="00CD4ABE" w:rsidRPr="00B852EF" w:rsidRDefault="00CD4ABE" w:rsidP="003A2F55">
      <w:pPr>
        <w:keepNext/>
        <w:jc w:val="center"/>
        <w:rPr>
          <w:rFonts w:ascii="Calibri" w:hAnsi="Calibri"/>
          <w:color w:val="000000"/>
          <w:sz w:val="22"/>
          <w:szCs w:val="22"/>
        </w:rPr>
      </w:pPr>
      <w:r w:rsidRPr="00B852EF">
        <w:rPr>
          <w:sz w:val="28"/>
          <w:szCs w:val="28"/>
        </w:rPr>
        <w:t>AOP 599 Otplata glavnice primljenih kredita od tuzemnih kreditnih institucija izvan javnog sektora</w:t>
      </w:r>
    </w:p>
    <w:p w14:paraId="00DA1D0A" w14:textId="0816EC25" w:rsidR="0048271A" w:rsidRPr="00B852EF" w:rsidRDefault="00CD4ABE" w:rsidP="003A2F55">
      <w:pPr>
        <w:jc w:val="both"/>
      </w:pPr>
      <w:r w:rsidRPr="00B852EF">
        <w:t>U 20</w:t>
      </w:r>
      <w:r w:rsidR="003A2F55" w:rsidRPr="00B852EF">
        <w:t>2</w:t>
      </w:r>
      <w:r w:rsidRPr="00B852EF">
        <w:t>1. ostvareno je 6.377.970.414 izdataka za otplate glavnice primljenih kredita od tuzemnih kreditnih institucija izvan javnog sektora, što je za 132,9% više od realiziranih izdataka u 2020.</w:t>
      </w:r>
      <w:r w:rsidR="00260ADB">
        <w:t xml:space="preserve"> </w:t>
      </w:r>
      <w:r w:rsidR="003A2F55" w:rsidRPr="00B852EF">
        <w:t xml:space="preserve">Navedeni izdaci najvećim se dijelom odnose na otplate glavnice primljenih kredita od Zagrebačke banke, </w:t>
      </w:r>
      <w:proofErr w:type="spellStart"/>
      <w:r w:rsidR="003A2F55" w:rsidRPr="00B852EF">
        <w:t>Erste&amp;Steiermärkische</w:t>
      </w:r>
      <w:proofErr w:type="spellEnd"/>
      <w:r w:rsidR="003A2F55" w:rsidRPr="00B852EF">
        <w:t xml:space="preserve"> banke te OTP banke. U okviru ovih izdataka evidentiraju se i otplate glavnica kredita Sveučilišta koji se podmiruju iz državnog proračuna.</w:t>
      </w:r>
    </w:p>
    <w:p w14:paraId="367370AD" w14:textId="33855714" w:rsidR="0048271A" w:rsidRPr="00B852EF" w:rsidRDefault="0048271A" w:rsidP="0048271A">
      <w:pPr>
        <w:jc w:val="center"/>
        <w:rPr>
          <w:sz w:val="28"/>
          <w:szCs w:val="28"/>
        </w:rPr>
      </w:pPr>
    </w:p>
    <w:p w14:paraId="0F26D8EC" w14:textId="57AB12D0" w:rsidR="00151721" w:rsidRPr="00B852EF" w:rsidRDefault="00B852EF" w:rsidP="00151721">
      <w:pPr>
        <w:jc w:val="center"/>
        <w:rPr>
          <w:sz w:val="28"/>
          <w:szCs w:val="28"/>
        </w:rPr>
      </w:pPr>
      <w:r w:rsidRPr="00B852EF">
        <w:rPr>
          <w:sz w:val="28"/>
          <w:szCs w:val="28"/>
        </w:rPr>
        <w:t>Bilješka 53</w:t>
      </w:r>
      <w:r w:rsidR="00151721" w:rsidRPr="00B852EF">
        <w:rPr>
          <w:sz w:val="28"/>
          <w:szCs w:val="28"/>
        </w:rPr>
        <w:t>.</w:t>
      </w:r>
    </w:p>
    <w:p w14:paraId="605C9499" w14:textId="6AB321B1" w:rsidR="00151721" w:rsidRPr="00B852EF" w:rsidRDefault="00151721" w:rsidP="00151721">
      <w:pPr>
        <w:jc w:val="center"/>
        <w:rPr>
          <w:sz w:val="28"/>
          <w:szCs w:val="28"/>
        </w:rPr>
      </w:pPr>
      <w:r w:rsidRPr="00B852EF">
        <w:rPr>
          <w:sz w:val="28"/>
          <w:szCs w:val="28"/>
        </w:rPr>
        <w:t>AOP 620 Izdaci za otplatu glavnice za izdane trezorske zapise u zemlji</w:t>
      </w:r>
    </w:p>
    <w:p w14:paraId="1D6A7B4D" w14:textId="0EDF7AAB" w:rsidR="00151721" w:rsidRPr="00B852EF" w:rsidRDefault="00151721" w:rsidP="00B852EF">
      <w:pPr>
        <w:shd w:val="clear" w:color="auto" w:fill="FFFFFF"/>
        <w:jc w:val="both"/>
      </w:pPr>
      <w:r w:rsidRPr="00B852EF">
        <w:t xml:space="preserve">Izdaci za otplatu glavnice za izdane trezorske zapise u zemlji u 2020. godini iznosili su 3.231.030.394 </w:t>
      </w:r>
      <w:r w:rsidRPr="00B852EF">
        <w:rPr>
          <w:bCs/>
        </w:rPr>
        <w:t>kune, dok u 2021. godini nije bilo izdataka po navedenoj osnovi</w:t>
      </w:r>
      <w:r w:rsidRPr="00B852EF">
        <w:t xml:space="preserve">. Tijekom 2020. godine održano je 17 aukcija trezorskih zapisa na kojima je bilo ukupno 19 izdanja, od čega 16 kunskih izdanja, 2 izdanja trezorskih zapisa izraženih u eurima, a plativih u kunama te 1 izdanje trezorskih zapisa izraženih i plativih u eurima. Svih 19 izdanja u 2020. godini je bilo s rokom </w:t>
      </w:r>
      <w:r w:rsidRPr="00B852EF">
        <w:lastRenderedPageBreak/>
        <w:t>dospijeća od 364 dana. Na aukcijama trezorskih zapisa izdano je ukupno 15,517 milijardi kuna, 159 milijuna eura (plativih u kunama) i 1,034 milijarde eura (plativih u eurima) trezorskih zapisa. Istodobno je iskupljeno 19,237 milijardi kuna, 106,000 milijuna eura (plativih u kunama) i 1,048 milijardi eura (plativih u eurima) trezorskih zapisa. Stanje ukupno upisanih trezorskih zapisa smanjilo se sa 26,3 milijarde kuna, koliko je iznosilo potkraj 2019. godine, na 23,0 milijarde kuna, koliko je iznosilo na kraju 2020.</w:t>
      </w:r>
      <w:r w:rsidRPr="003B30B6">
        <w:t xml:space="preserve"> </w:t>
      </w:r>
    </w:p>
    <w:p w14:paraId="17194757" w14:textId="77777777" w:rsidR="00151721" w:rsidRPr="00B852EF" w:rsidRDefault="00151721" w:rsidP="0048271A">
      <w:pPr>
        <w:jc w:val="center"/>
      </w:pPr>
    </w:p>
    <w:p w14:paraId="05B65DE4" w14:textId="30B2A24C" w:rsidR="0048271A" w:rsidRPr="00B852EF" w:rsidRDefault="00B852EF" w:rsidP="0048271A">
      <w:pPr>
        <w:jc w:val="center"/>
        <w:rPr>
          <w:sz w:val="28"/>
          <w:szCs w:val="28"/>
        </w:rPr>
      </w:pPr>
      <w:r w:rsidRPr="00B852EF">
        <w:rPr>
          <w:sz w:val="28"/>
          <w:szCs w:val="28"/>
        </w:rPr>
        <w:t>Bilješka 54</w:t>
      </w:r>
      <w:r w:rsidR="0048271A" w:rsidRPr="00B852EF">
        <w:rPr>
          <w:sz w:val="28"/>
          <w:szCs w:val="28"/>
        </w:rPr>
        <w:t>.</w:t>
      </w:r>
    </w:p>
    <w:p w14:paraId="5D1BCB0C" w14:textId="0FF24909" w:rsidR="00767C36" w:rsidRPr="00B852EF" w:rsidRDefault="00151721" w:rsidP="00767C36">
      <w:pPr>
        <w:jc w:val="center"/>
        <w:rPr>
          <w:sz w:val="28"/>
          <w:szCs w:val="28"/>
        </w:rPr>
      </w:pPr>
      <w:r w:rsidRPr="00B852EF">
        <w:rPr>
          <w:sz w:val="28"/>
          <w:szCs w:val="28"/>
        </w:rPr>
        <w:t>AOP 623</w:t>
      </w:r>
      <w:r w:rsidR="0048271A" w:rsidRPr="00B852EF">
        <w:rPr>
          <w:sz w:val="28"/>
          <w:szCs w:val="28"/>
        </w:rPr>
        <w:t xml:space="preserve"> Izdaci za otplatu glavnice za i</w:t>
      </w:r>
      <w:r w:rsidRPr="00B852EF">
        <w:rPr>
          <w:sz w:val="28"/>
          <w:szCs w:val="28"/>
        </w:rPr>
        <w:t>zdane obveznice u zemlji</w:t>
      </w:r>
    </w:p>
    <w:p w14:paraId="453779AE" w14:textId="15975B93" w:rsidR="0048271A" w:rsidRPr="00D64617" w:rsidRDefault="00767C36" w:rsidP="00D64617">
      <w:r w:rsidRPr="00B852EF">
        <w:t>U 2021. godini 6 milijardi kuna obveznica su dospjele  i iskupljene 8. srpnja 2021. godine. Ova petogodišnja obveznica izdana je u srpnju 2016. godine uz nepromjenjivi kamatni kupon 2,75% godišnje.</w:t>
      </w:r>
    </w:p>
    <w:p w14:paraId="516F1813" w14:textId="04DDC8D5" w:rsidR="007D71BC" w:rsidRDefault="007D71BC" w:rsidP="00194C9F">
      <w:pPr>
        <w:pStyle w:val="Naslov"/>
        <w:keepNext/>
        <w:jc w:val="both"/>
        <w:rPr>
          <w:b w:val="0"/>
          <w:bCs w:val="0"/>
          <w:sz w:val="24"/>
        </w:rPr>
      </w:pPr>
    </w:p>
    <w:p w14:paraId="701BC96A" w14:textId="77777777" w:rsidR="007D71BC" w:rsidRDefault="007D71BC" w:rsidP="00194C9F">
      <w:pPr>
        <w:pStyle w:val="Naslov"/>
        <w:keepNext/>
        <w:jc w:val="both"/>
        <w:rPr>
          <w:b w:val="0"/>
          <w:bCs w:val="0"/>
          <w:sz w:val="24"/>
        </w:rPr>
      </w:pPr>
    </w:p>
    <w:p w14:paraId="63A6B910" w14:textId="77777777" w:rsidR="007D71BC" w:rsidRDefault="007D71BC" w:rsidP="00194C9F">
      <w:pPr>
        <w:pStyle w:val="Naslov"/>
        <w:keepNext/>
        <w:jc w:val="both"/>
        <w:rPr>
          <w:b w:val="0"/>
          <w:bCs w:val="0"/>
          <w:sz w:val="24"/>
        </w:rPr>
      </w:pPr>
    </w:p>
    <w:p w14:paraId="253B9DB6" w14:textId="77777777" w:rsidR="007D71BC" w:rsidRDefault="007D71BC" w:rsidP="00194C9F">
      <w:pPr>
        <w:pStyle w:val="Naslov"/>
        <w:keepNext/>
        <w:jc w:val="both"/>
        <w:rPr>
          <w:b w:val="0"/>
          <w:bCs w:val="0"/>
          <w:sz w:val="24"/>
        </w:rPr>
      </w:pPr>
    </w:p>
    <w:p w14:paraId="28CFE76C" w14:textId="77777777" w:rsidR="007D71BC" w:rsidRDefault="007D71BC" w:rsidP="00194C9F">
      <w:pPr>
        <w:pStyle w:val="Naslov"/>
        <w:keepNext/>
        <w:jc w:val="both"/>
        <w:rPr>
          <w:b w:val="0"/>
          <w:bCs w:val="0"/>
          <w:sz w:val="24"/>
        </w:rPr>
      </w:pPr>
    </w:p>
    <w:p w14:paraId="155E642D" w14:textId="77777777" w:rsidR="007D71BC" w:rsidRDefault="007D71BC" w:rsidP="00194C9F">
      <w:pPr>
        <w:pStyle w:val="Naslov"/>
        <w:keepNext/>
        <w:jc w:val="both"/>
        <w:rPr>
          <w:b w:val="0"/>
          <w:bCs w:val="0"/>
          <w:sz w:val="24"/>
        </w:rPr>
      </w:pPr>
    </w:p>
    <w:p w14:paraId="12B9D967" w14:textId="77777777" w:rsidR="007D71BC" w:rsidRDefault="007D71BC" w:rsidP="00194C9F">
      <w:pPr>
        <w:pStyle w:val="Naslov"/>
        <w:keepNext/>
        <w:jc w:val="both"/>
        <w:rPr>
          <w:b w:val="0"/>
          <w:bCs w:val="0"/>
          <w:sz w:val="24"/>
        </w:rPr>
      </w:pPr>
    </w:p>
    <w:p w14:paraId="4C9EBC88" w14:textId="77777777" w:rsidR="007D71BC" w:rsidRDefault="007D71BC" w:rsidP="00194C9F">
      <w:pPr>
        <w:pStyle w:val="Naslov"/>
        <w:keepNext/>
        <w:jc w:val="both"/>
        <w:rPr>
          <w:b w:val="0"/>
          <w:bCs w:val="0"/>
          <w:sz w:val="24"/>
        </w:rPr>
      </w:pPr>
    </w:p>
    <w:p w14:paraId="27169A9B" w14:textId="77777777" w:rsidR="007D71BC" w:rsidRDefault="007D71BC" w:rsidP="00194C9F">
      <w:pPr>
        <w:pStyle w:val="Naslov"/>
        <w:keepNext/>
        <w:jc w:val="both"/>
        <w:rPr>
          <w:b w:val="0"/>
          <w:bCs w:val="0"/>
          <w:sz w:val="24"/>
        </w:rPr>
      </w:pPr>
    </w:p>
    <w:p w14:paraId="0C2DEAE6" w14:textId="77777777" w:rsidR="007D71BC" w:rsidRDefault="007D71BC" w:rsidP="00194C9F">
      <w:pPr>
        <w:pStyle w:val="Naslov"/>
        <w:keepNext/>
        <w:jc w:val="both"/>
        <w:rPr>
          <w:b w:val="0"/>
          <w:bCs w:val="0"/>
          <w:sz w:val="24"/>
        </w:rPr>
      </w:pPr>
    </w:p>
    <w:p w14:paraId="4503F389" w14:textId="7FDFE015" w:rsidR="00491AD6" w:rsidRPr="003B30B6" w:rsidRDefault="00491AD6" w:rsidP="00491AD6">
      <w:pPr>
        <w:jc w:val="both"/>
      </w:pPr>
    </w:p>
    <w:p w14:paraId="58C4234C" w14:textId="77777777" w:rsidR="00AE408E" w:rsidRPr="003B30B6" w:rsidRDefault="00AE408E" w:rsidP="00491AD6">
      <w:pPr>
        <w:tabs>
          <w:tab w:val="left" w:pos="180"/>
          <w:tab w:val="left" w:pos="540"/>
        </w:tabs>
        <w:jc w:val="both"/>
      </w:pPr>
    </w:p>
    <w:p w14:paraId="4F5FB9E5" w14:textId="77777777" w:rsidR="00491AD6" w:rsidRPr="003B30B6" w:rsidRDefault="00491AD6" w:rsidP="00491AD6">
      <w:pPr>
        <w:jc w:val="both"/>
      </w:pPr>
    </w:p>
    <w:p w14:paraId="1412143E" w14:textId="77777777" w:rsidR="00491AD6" w:rsidRPr="003B30B6" w:rsidRDefault="00491AD6" w:rsidP="00491AD6">
      <w:pPr>
        <w:jc w:val="center"/>
        <w:rPr>
          <w:sz w:val="28"/>
          <w:szCs w:val="28"/>
        </w:rPr>
      </w:pPr>
    </w:p>
    <w:p w14:paraId="3A957DF9" w14:textId="77777777" w:rsidR="00491AD6" w:rsidRPr="003B30B6" w:rsidRDefault="00491AD6" w:rsidP="00491AD6">
      <w:pPr>
        <w:jc w:val="both"/>
      </w:pPr>
    </w:p>
    <w:p w14:paraId="560E88FD" w14:textId="77777777" w:rsidR="00491AD6" w:rsidRPr="003B30B6" w:rsidRDefault="00491AD6" w:rsidP="00491AD6">
      <w:pPr>
        <w:tabs>
          <w:tab w:val="decimal" w:pos="7380"/>
        </w:tabs>
        <w:jc w:val="both"/>
      </w:pPr>
    </w:p>
    <w:p w14:paraId="560054F9" w14:textId="77777777" w:rsidR="00187157" w:rsidRPr="003B30B6" w:rsidRDefault="00187157" w:rsidP="00187157">
      <w:pPr>
        <w:pageBreakBefore/>
        <w:jc w:val="center"/>
        <w:outlineLvl w:val="0"/>
        <w:rPr>
          <w:b/>
          <w:bCs/>
          <w:sz w:val="28"/>
        </w:rPr>
      </w:pPr>
      <w:r w:rsidRPr="003B30B6">
        <w:rPr>
          <w:b/>
          <w:bCs/>
          <w:sz w:val="28"/>
        </w:rPr>
        <w:lastRenderedPageBreak/>
        <w:t>BILJEŠKE UZ BILANCU</w:t>
      </w:r>
    </w:p>
    <w:p w14:paraId="65C8BE1B" w14:textId="77777777" w:rsidR="00187157" w:rsidRPr="003B30B6" w:rsidRDefault="00187157" w:rsidP="00187157">
      <w:pPr>
        <w:jc w:val="both"/>
        <w:rPr>
          <w:bCs/>
          <w:szCs w:val="28"/>
        </w:rPr>
      </w:pPr>
    </w:p>
    <w:p w14:paraId="6131EFFE" w14:textId="77777777" w:rsidR="00187157" w:rsidRPr="00B852EF" w:rsidRDefault="00187157" w:rsidP="00187157">
      <w:pPr>
        <w:keepNext/>
        <w:jc w:val="center"/>
        <w:rPr>
          <w:sz w:val="28"/>
        </w:rPr>
      </w:pPr>
      <w:r w:rsidRPr="00B852EF">
        <w:rPr>
          <w:sz w:val="28"/>
        </w:rPr>
        <w:t xml:space="preserve">Bilješka 1. </w:t>
      </w:r>
    </w:p>
    <w:p w14:paraId="53D0C97A" w14:textId="77777777" w:rsidR="00187157" w:rsidRPr="00B852EF" w:rsidRDefault="00187157" w:rsidP="00187157">
      <w:pPr>
        <w:jc w:val="both"/>
        <w:rPr>
          <w:szCs w:val="20"/>
        </w:rPr>
      </w:pPr>
      <w:r w:rsidRPr="00B852EF">
        <w:rPr>
          <w:szCs w:val="20"/>
        </w:rPr>
        <w:t xml:space="preserve">Obrazac BIL Državnog proračuna izrađen je na temelju podatka sadržanih u Glavnoj knjizi proračuna. Kako je već navedeno, Glavnu knjigu proračuna informatički podržava SAP sustav koji je izgrađen prvenstveno kao transakcijski sustav u koji se ručno unose podaci iz ostalih računovodstvenih sustava proračunskih korisnika temeljem zahtjeva za plaćanje. Kroz projekt povezivanja informacijskih sustava proračunskih korisnika i sustava državne riznice stvorile su se pretpostavke za razvoj cjelovite računovodstvene funkcije. Projektom je razvijen </w:t>
      </w:r>
      <w:proofErr w:type="spellStart"/>
      <w:r w:rsidRPr="00B852EF">
        <w:rPr>
          <w:szCs w:val="20"/>
        </w:rPr>
        <w:t>Gateway</w:t>
      </w:r>
      <w:proofErr w:type="spellEnd"/>
      <w:r w:rsidRPr="00B852EF">
        <w:rPr>
          <w:szCs w:val="20"/>
        </w:rPr>
        <w:t xml:space="preserve"> kao središnji sustav za razmjenu elektroničkih dokumenata između sustava proračunskih korisnika i sustava državne riznice, a povezivanjem svih proračunskih korisnika dobit će se cjeloviti podaci o obvezama korisnika u Glavnoj knjizi proračuna.</w:t>
      </w:r>
      <w:r w:rsidRPr="00B852EF">
        <w:rPr>
          <w:bCs/>
          <w:szCs w:val="20"/>
        </w:rPr>
        <w:t xml:space="preserve"> Iako je napravljen veliki iskorak u stvaranju cjelovite Bilance u odnosu na ranije godine, još uvijek se dio </w:t>
      </w:r>
      <w:r w:rsidRPr="00B852EF">
        <w:rPr>
          <w:szCs w:val="20"/>
        </w:rPr>
        <w:t>evidencija o obvezama i najveći dio potraživanja koje su unesene u Glavnu knjigu kroz SAP sustav temelje na ručnim knjiženjima djelatnika u Državnoj riznici, a podloga im je u analitičkim evidencijama koje su kod proračunskih korisnika i/ili pojedinih organizacijskih jedinica Ministarstva financija. Kao što je naglašeno, do potpunog povezivanja analitičkih evidencija svih proračunskih korisnika nemoguće je ručnim knjiženjima pratiti sve poslovne događaje i transakcije vezane uz bilančne pozicije svih subjekata središnje države. Konsolidacijom bilanci proračunskih korisnika s bilancom Državnog proračuna dobivaju se sveobuhvatni podaci o potraživanjima i obvezama Državnog proračuna.</w:t>
      </w:r>
    </w:p>
    <w:p w14:paraId="0BCE1DDF" w14:textId="77777777" w:rsidR="00187157" w:rsidRPr="00B852EF" w:rsidRDefault="00187157" w:rsidP="00187157">
      <w:pPr>
        <w:jc w:val="both"/>
        <w:rPr>
          <w:bCs/>
          <w:szCs w:val="20"/>
        </w:rPr>
      </w:pPr>
    </w:p>
    <w:p w14:paraId="7D5CB199" w14:textId="77777777" w:rsidR="00187157" w:rsidRPr="00B852EF" w:rsidRDefault="00187157" w:rsidP="00187157">
      <w:pPr>
        <w:keepNext/>
        <w:jc w:val="center"/>
        <w:rPr>
          <w:sz w:val="28"/>
        </w:rPr>
      </w:pPr>
      <w:r w:rsidRPr="00B852EF">
        <w:rPr>
          <w:sz w:val="28"/>
        </w:rPr>
        <w:t>Bilješka 2.</w:t>
      </w:r>
    </w:p>
    <w:p w14:paraId="6816469F" w14:textId="77777777" w:rsidR="00187157" w:rsidRPr="00B852EF" w:rsidRDefault="00187157" w:rsidP="00187157">
      <w:pPr>
        <w:keepNext/>
        <w:jc w:val="center"/>
        <w:rPr>
          <w:bCs/>
          <w:sz w:val="28"/>
        </w:rPr>
      </w:pPr>
      <w:r w:rsidRPr="00B852EF">
        <w:rPr>
          <w:bCs/>
          <w:sz w:val="28"/>
        </w:rPr>
        <w:t xml:space="preserve">AOP 064 Novac u banci i blagajni </w:t>
      </w:r>
    </w:p>
    <w:p w14:paraId="39A02E55" w14:textId="77777777" w:rsidR="00187157" w:rsidRPr="00B852EF" w:rsidRDefault="00187157" w:rsidP="00187157">
      <w:pPr>
        <w:keepNext/>
        <w:jc w:val="both"/>
      </w:pPr>
      <w:r w:rsidRPr="00B852EF">
        <w:t>Stanje na AOP-u 064 Novac u banci i blagajni obuhvaća novčana sredstva:</w:t>
      </w:r>
    </w:p>
    <w:p w14:paraId="511E5449" w14:textId="77777777" w:rsidR="00187157" w:rsidRPr="00B852EF" w:rsidRDefault="00187157" w:rsidP="00187157">
      <w:pPr>
        <w:jc w:val="both"/>
        <w:rPr>
          <w:b/>
          <w:sz w:val="20"/>
          <w:szCs w:val="20"/>
        </w:rPr>
      </w:pPr>
    </w:p>
    <w:p w14:paraId="13945375" w14:textId="77777777" w:rsidR="00187157" w:rsidRPr="00B852EF" w:rsidRDefault="00187157" w:rsidP="00187157">
      <w:pPr>
        <w:jc w:val="both"/>
        <w:rPr>
          <w:b/>
          <w:sz w:val="20"/>
          <w:szCs w:val="20"/>
        </w:rPr>
      </w:pPr>
      <w:r w:rsidRPr="00B852EF">
        <w:rPr>
          <w:b/>
          <w:sz w:val="20"/>
          <w:szCs w:val="20"/>
        </w:rPr>
        <w:t>Tablica 1.</w:t>
      </w:r>
    </w:p>
    <w:tbl>
      <w:tblPr>
        <w:tblW w:w="811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5231"/>
        <w:gridCol w:w="2111"/>
      </w:tblGrid>
      <w:tr w:rsidR="00187157" w:rsidRPr="00B852EF" w14:paraId="242880E7" w14:textId="77777777" w:rsidTr="007F2D4C">
        <w:trPr>
          <w:trHeight w:val="22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684D" w14:textId="77777777" w:rsidR="00187157" w:rsidRPr="00B852EF" w:rsidRDefault="00187157" w:rsidP="00187157">
            <w:pPr>
              <w:rPr>
                <w:b/>
                <w:bCs/>
                <w:sz w:val="20"/>
                <w:szCs w:val="20"/>
              </w:rPr>
            </w:pPr>
            <w:r w:rsidRPr="00B852EF">
              <w:rPr>
                <w:b/>
                <w:bCs/>
                <w:sz w:val="20"/>
                <w:szCs w:val="20"/>
              </w:rPr>
              <w:t> </w:t>
            </w:r>
          </w:p>
        </w:tc>
        <w:tc>
          <w:tcPr>
            <w:tcW w:w="5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1FAC" w14:textId="77777777" w:rsidR="00187157" w:rsidRPr="00B852EF" w:rsidRDefault="00187157" w:rsidP="00187157">
            <w:pPr>
              <w:rPr>
                <w:b/>
                <w:bCs/>
                <w:sz w:val="20"/>
                <w:szCs w:val="20"/>
              </w:rPr>
            </w:pPr>
            <w:r w:rsidRPr="00B852EF">
              <w:rPr>
                <w:b/>
                <w:bCs/>
                <w:sz w:val="20"/>
                <w:szCs w:val="20"/>
              </w:rPr>
              <w:t>NOVČANA SREDSTVA</w:t>
            </w:r>
          </w:p>
        </w:tc>
        <w:tc>
          <w:tcPr>
            <w:tcW w:w="2111" w:type="dxa"/>
            <w:tcBorders>
              <w:top w:val="single" w:sz="4" w:space="0" w:color="auto"/>
              <w:left w:val="single" w:sz="4" w:space="0" w:color="auto"/>
              <w:bottom w:val="single" w:sz="4" w:space="0" w:color="auto"/>
              <w:right w:val="single" w:sz="4" w:space="0" w:color="auto"/>
            </w:tcBorders>
            <w:vAlign w:val="center"/>
          </w:tcPr>
          <w:p w14:paraId="5B63F12F" w14:textId="6B07E0AE" w:rsidR="00187157" w:rsidRPr="00B852EF" w:rsidRDefault="003D13F4" w:rsidP="00187157">
            <w:pPr>
              <w:jc w:val="right"/>
              <w:rPr>
                <w:b/>
                <w:sz w:val="20"/>
              </w:rPr>
            </w:pPr>
            <w:r w:rsidRPr="00B852EF">
              <w:rPr>
                <w:b/>
                <w:sz w:val="20"/>
              </w:rPr>
              <w:t>16.687.210.313</w:t>
            </w:r>
          </w:p>
        </w:tc>
      </w:tr>
      <w:tr w:rsidR="00187157" w:rsidRPr="00B852EF" w14:paraId="3B16B689" w14:textId="77777777" w:rsidTr="007F2D4C">
        <w:trPr>
          <w:trHeight w:val="22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D5D1" w14:textId="77777777" w:rsidR="00187157" w:rsidRPr="00B852EF" w:rsidRDefault="00187157" w:rsidP="00187157">
            <w:pPr>
              <w:jc w:val="right"/>
              <w:rPr>
                <w:sz w:val="20"/>
                <w:szCs w:val="20"/>
              </w:rPr>
            </w:pPr>
            <w:r w:rsidRPr="00B852EF">
              <w:rPr>
                <w:sz w:val="20"/>
                <w:szCs w:val="20"/>
              </w:rPr>
              <w:t>1111</w:t>
            </w:r>
          </w:p>
        </w:tc>
        <w:tc>
          <w:tcPr>
            <w:tcW w:w="5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879BC" w14:textId="77777777" w:rsidR="00187157" w:rsidRPr="00B852EF" w:rsidRDefault="00187157" w:rsidP="00187157">
            <w:pPr>
              <w:rPr>
                <w:sz w:val="20"/>
                <w:szCs w:val="20"/>
              </w:rPr>
            </w:pPr>
            <w:r w:rsidRPr="00B852EF">
              <w:rPr>
                <w:sz w:val="20"/>
                <w:szCs w:val="20"/>
              </w:rPr>
              <w:t xml:space="preserve">Novac na žiro računu kod Hrvatske narodne banke </w:t>
            </w:r>
          </w:p>
        </w:tc>
        <w:tc>
          <w:tcPr>
            <w:tcW w:w="2111" w:type="dxa"/>
            <w:tcBorders>
              <w:top w:val="single" w:sz="4" w:space="0" w:color="auto"/>
              <w:left w:val="single" w:sz="4" w:space="0" w:color="auto"/>
              <w:bottom w:val="single" w:sz="4" w:space="0" w:color="auto"/>
              <w:right w:val="single" w:sz="4" w:space="0" w:color="auto"/>
            </w:tcBorders>
            <w:vAlign w:val="center"/>
          </w:tcPr>
          <w:p w14:paraId="1372EDBA" w14:textId="77880E40" w:rsidR="00187157" w:rsidRPr="00B852EF" w:rsidRDefault="003D13F4" w:rsidP="00187157">
            <w:pPr>
              <w:jc w:val="right"/>
              <w:rPr>
                <w:sz w:val="20"/>
              </w:rPr>
            </w:pPr>
            <w:r w:rsidRPr="00B852EF">
              <w:rPr>
                <w:sz w:val="20"/>
              </w:rPr>
              <w:t>10.663.783.013</w:t>
            </w:r>
          </w:p>
        </w:tc>
      </w:tr>
      <w:tr w:rsidR="00187157" w:rsidRPr="00B852EF" w14:paraId="44884006" w14:textId="77777777" w:rsidTr="007F2D4C">
        <w:trPr>
          <w:trHeight w:val="22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587EC" w14:textId="77777777" w:rsidR="00187157" w:rsidRPr="00B852EF" w:rsidRDefault="00187157" w:rsidP="00187157">
            <w:pPr>
              <w:jc w:val="right"/>
              <w:rPr>
                <w:sz w:val="20"/>
                <w:szCs w:val="20"/>
              </w:rPr>
            </w:pPr>
            <w:r w:rsidRPr="00B852EF">
              <w:rPr>
                <w:sz w:val="20"/>
                <w:szCs w:val="20"/>
              </w:rPr>
              <w:t>1112</w:t>
            </w:r>
          </w:p>
        </w:tc>
        <w:tc>
          <w:tcPr>
            <w:tcW w:w="5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C66FD" w14:textId="77777777" w:rsidR="00187157" w:rsidRPr="00B852EF" w:rsidRDefault="00187157" w:rsidP="00187157">
            <w:pPr>
              <w:rPr>
                <w:sz w:val="20"/>
                <w:szCs w:val="20"/>
              </w:rPr>
            </w:pPr>
            <w:r w:rsidRPr="00B852EF">
              <w:rPr>
                <w:sz w:val="20"/>
                <w:szCs w:val="20"/>
              </w:rPr>
              <w:t>Novac na žiro računu kod tuzemnih poslovnih banaka</w:t>
            </w:r>
          </w:p>
        </w:tc>
        <w:tc>
          <w:tcPr>
            <w:tcW w:w="2111" w:type="dxa"/>
            <w:tcBorders>
              <w:top w:val="single" w:sz="4" w:space="0" w:color="auto"/>
              <w:left w:val="single" w:sz="4" w:space="0" w:color="auto"/>
              <w:bottom w:val="single" w:sz="4" w:space="0" w:color="auto"/>
              <w:right w:val="single" w:sz="4" w:space="0" w:color="auto"/>
            </w:tcBorders>
            <w:vAlign w:val="center"/>
          </w:tcPr>
          <w:p w14:paraId="5FA7D44C" w14:textId="552F77E1" w:rsidR="00187157" w:rsidRPr="00B852EF" w:rsidRDefault="003D13F4" w:rsidP="00187157">
            <w:pPr>
              <w:jc w:val="right"/>
              <w:rPr>
                <w:sz w:val="20"/>
              </w:rPr>
            </w:pPr>
            <w:r w:rsidRPr="00B852EF">
              <w:rPr>
                <w:sz w:val="20"/>
              </w:rPr>
              <w:t>5.914.588.061</w:t>
            </w:r>
          </w:p>
        </w:tc>
      </w:tr>
      <w:tr w:rsidR="00187157" w:rsidRPr="00B852EF" w14:paraId="17D70694" w14:textId="77777777" w:rsidTr="007F2D4C">
        <w:trPr>
          <w:trHeight w:val="22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0CE8" w14:textId="77777777" w:rsidR="00187157" w:rsidRPr="00B852EF" w:rsidRDefault="00187157" w:rsidP="00187157">
            <w:pPr>
              <w:jc w:val="right"/>
              <w:rPr>
                <w:sz w:val="20"/>
                <w:szCs w:val="20"/>
              </w:rPr>
            </w:pPr>
            <w:r w:rsidRPr="00B852EF">
              <w:rPr>
                <w:sz w:val="20"/>
                <w:szCs w:val="20"/>
              </w:rPr>
              <w:t>1113</w:t>
            </w:r>
          </w:p>
        </w:tc>
        <w:tc>
          <w:tcPr>
            <w:tcW w:w="5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4FB3F" w14:textId="77777777" w:rsidR="00187157" w:rsidRPr="00B852EF" w:rsidRDefault="00187157" w:rsidP="00187157">
            <w:pPr>
              <w:rPr>
                <w:sz w:val="20"/>
                <w:szCs w:val="20"/>
              </w:rPr>
            </w:pPr>
            <w:r w:rsidRPr="00B852EF">
              <w:rPr>
                <w:sz w:val="20"/>
                <w:szCs w:val="20"/>
              </w:rPr>
              <w:t>Novac na računu kod inozemnih poslovnih banaka</w:t>
            </w:r>
          </w:p>
        </w:tc>
        <w:tc>
          <w:tcPr>
            <w:tcW w:w="2111" w:type="dxa"/>
            <w:tcBorders>
              <w:top w:val="single" w:sz="4" w:space="0" w:color="auto"/>
              <w:left w:val="single" w:sz="4" w:space="0" w:color="auto"/>
              <w:bottom w:val="single" w:sz="4" w:space="0" w:color="auto"/>
              <w:right w:val="single" w:sz="4" w:space="0" w:color="auto"/>
            </w:tcBorders>
            <w:vAlign w:val="center"/>
          </w:tcPr>
          <w:p w14:paraId="371766FF" w14:textId="3FFC2C63" w:rsidR="00187157" w:rsidRPr="00B852EF" w:rsidRDefault="003D13F4" w:rsidP="00187157">
            <w:pPr>
              <w:jc w:val="right"/>
              <w:rPr>
                <w:sz w:val="20"/>
              </w:rPr>
            </w:pPr>
            <w:r w:rsidRPr="00B852EF">
              <w:rPr>
                <w:sz w:val="20"/>
              </w:rPr>
              <w:t>63</w:t>
            </w:r>
            <w:r w:rsidR="00175431" w:rsidRPr="00B852EF">
              <w:rPr>
                <w:sz w:val="20"/>
              </w:rPr>
              <w:t>9</w:t>
            </w:r>
          </w:p>
        </w:tc>
      </w:tr>
      <w:tr w:rsidR="00187157" w:rsidRPr="00B852EF" w14:paraId="5E0AE797" w14:textId="77777777" w:rsidTr="007F2D4C">
        <w:trPr>
          <w:trHeight w:val="22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40940" w14:textId="77777777" w:rsidR="00187157" w:rsidRPr="00B852EF" w:rsidRDefault="00187157" w:rsidP="00187157">
            <w:pPr>
              <w:jc w:val="right"/>
              <w:rPr>
                <w:sz w:val="20"/>
                <w:szCs w:val="20"/>
              </w:rPr>
            </w:pPr>
            <w:r w:rsidRPr="00B852EF">
              <w:rPr>
                <w:sz w:val="20"/>
                <w:szCs w:val="20"/>
              </w:rPr>
              <w:t>112</w:t>
            </w:r>
          </w:p>
        </w:tc>
        <w:tc>
          <w:tcPr>
            <w:tcW w:w="5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998B" w14:textId="77777777" w:rsidR="00187157" w:rsidRPr="00B852EF" w:rsidRDefault="00187157" w:rsidP="00187157">
            <w:pPr>
              <w:rPr>
                <w:sz w:val="20"/>
                <w:szCs w:val="20"/>
              </w:rPr>
            </w:pPr>
            <w:r w:rsidRPr="00B852EF">
              <w:rPr>
                <w:sz w:val="20"/>
                <w:szCs w:val="20"/>
              </w:rPr>
              <w:t>Izdvojena novčana sredstva</w:t>
            </w:r>
          </w:p>
        </w:tc>
        <w:tc>
          <w:tcPr>
            <w:tcW w:w="2111" w:type="dxa"/>
            <w:tcBorders>
              <w:top w:val="single" w:sz="4" w:space="0" w:color="auto"/>
              <w:left w:val="single" w:sz="4" w:space="0" w:color="auto"/>
              <w:bottom w:val="single" w:sz="4" w:space="0" w:color="auto"/>
              <w:right w:val="single" w:sz="4" w:space="0" w:color="auto"/>
            </w:tcBorders>
            <w:vAlign w:val="center"/>
          </w:tcPr>
          <w:p w14:paraId="17A6334E" w14:textId="4D5F6144" w:rsidR="00187157" w:rsidRPr="00B852EF" w:rsidRDefault="003D13F4" w:rsidP="00187157">
            <w:pPr>
              <w:jc w:val="right"/>
              <w:rPr>
                <w:sz w:val="20"/>
              </w:rPr>
            </w:pPr>
            <w:r w:rsidRPr="00B852EF">
              <w:rPr>
                <w:sz w:val="20"/>
              </w:rPr>
              <w:t>108.838.600</w:t>
            </w:r>
          </w:p>
        </w:tc>
      </w:tr>
    </w:tbl>
    <w:p w14:paraId="636364CB" w14:textId="77777777" w:rsidR="00187157" w:rsidRPr="00B852EF" w:rsidRDefault="00187157" w:rsidP="00187157">
      <w:pPr>
        <w:jc w:val="both"/>
        <w:rPr>
          <w:b/>
          <w:sz w:val="20"/>
          <w:szCs w:val="20"/>
        </w:rPr>
      </w:pPr>
    </w:p>
    <w:p w14:paraId="771EB0E3" w14:textId="77777777" w:rsidR="00187157" w:rsidRPr="00B852EF" w:rsidRDefault="00187157" w:rsidP="00187157">
      <w:pPr>
        <w:jc w:val="both"/>
        <w:rPr>
          <w:b/>
          <w:sz w:val="20"/>
          <w:szCs w:val="20"/>
        </w:rPr>
      </w:pPr>
    </w:p>
    <w:p w14:paraId="6F74D8F1" w14:textId="77777777" w:rsidR="00187157" w:rsidRPr="00B852EF" w:rsidRDefault="00187157" w:rsidP="00187157">
      <w:pPr>
        <w:jc w:val="center"/>
        <w:rPr>
          <w:sz w:val="28"/>
        </w:rPr>
      </w:pPr>
      <w:r w:rsidRPr="00B852EF">
        <w:rPr>
          <w:sz w:val="28"/>
        </w:rPr>
        <w:t>Bilješka 3.</w:t>
      </w:r>
    </w:p>
    <w:p w14:paraId="70B385B7" w14:textId="77777777" w:rsidR="00187157" w:rsidRPr="00B852EF" w:rsidRDefault="00187157" w:rsidP="00187157">
      <w:pPr>
        <w:keepNext/>
        <w:jc w:val="center"/>
        <w:rPr>
          <w:sz w:val="28"/>
        </w:rPr>
      </w:pPr>
      <w:r w:rsidRPr="00B852EF">
        <w:rPr>
          <w:sz w:val="28"/>
        </w:rPr>
        <w:t>AOP 074 Depoziti u kreditnim i ostalim financijskim institucijama</w:t>
      </w:r>
    </w:p>
    <w:p w14:paraId="321DBA89" w14:textId="48595D1A" w:rsidR="00175431" w:rsidRPr="00B852EF" w:rsidRDefault="003D13F4" w:rsidP="00187157">
      <w:pPr>
        <w:keepNext/>
        <w:jc w:val="both"/>
      </w:pPr>
      <w:r w:rsidRPr="00B852EF">
        <w:t>U</w:t>
      </w:r>
      <w:r w:rsidR="00175431" w:rsidRPr="00B852EF">
        <w:t xml:space="preserve"> 2020</w:t>
      </w:r>
      <w:r w:rsidR="00187157" w:rsidRPr="00B852EF">
        <w:t>.</w:t>
      </w:r>
      <w:r w:rsidRPr="00B852EF">
        <w:t xml:space="preserve"> godini oročeno je</w:t>
      </w:r>
      <w:r w:rsidR="00187157" w:rsidRPr="00B852EF">
        <w:t xml:space="preserve"> </w:t>
      </w:r>
      <w:r w:rsidR="00175431" w:rsidRPr="00B852EF">
        <w:t xml:space="preserve">61.390.400 </w:t>
      </w:r>
      <w:r w:rsidR="00A876E8" w:rsidRPr="00B852EF">
        <w:rPr>
          <w:bCs/>
        </w:rPr>
        <w:t>kuna</w:t>
      </w:r>
      <w:r w:rsidRPr="00B852EF">
        <w:t>, što se</w:t>
      </w:r>
      <w:r w:rsidR="00AB7C49" w:rsidRPr="00B852EF">
        <w:t xml:space="preserve"> </w:t>
      </w:r>
      <w:r w:rsidRPr="00B852EF">
        <w:t>odnosi</w:t>
      </w:r>
      <w:r w:rsidR="00187157" w:rsidRPr="00B852EF">
        <w:t xml:space="preserve"> na </w:t>
      </w:r>
      <w:r w:rsidR="00175431" w:rsidRPr="00B852EF">
        <w:t>kratkoročno oročeni depozit (do 11. siječnja 20</w:t>
      </w:r>
      <w:r w:rsidRPr="00B852EF">
        <w:t>21.) kod Hrvatske narodne banke, dok se u 2021. nisu oročavali depoziti.</w:t>
      </w:r>
    </w:p>
    <w:p w14:paraId="3989F9C1" w14:textId="77777777" w:rsidR="00187157" w:rsidRPr="00B852EF" w:rsidRDefault="00187157" w:rsidP="00187157">
      <w:pPr>
        <w:keepNext/>
        <w:rPr>
          <w:sz w:val="28"/>
        </w:rPr>
      </w:pPr>
    </w:p>
    <w:p w14:paraId="7D3F2EBC" w14:textId="77777777" w:rsidR="002726A4" w:rsidRPr="00B852EF" w:rsidRDefault="002726A4" w:rsidP="002726A4">
      <w:pPr>
        <w:keepNext/>
        <w:jc w:val="center"/>
        <w:rPr>
          <w:sz w:val="28"/>
        </w:rPr>
      </w:pPr>
      <w:r w:rsidRPr="00B852EF">
        <w:rPr>
          <w:sz w:val="28"/>
        </w:rPr>
        <w:t>Bilješka 4.</w:t>
      </w:r>
      <w:r w:rsidR="00AB7C49" w:rsidRPr="00B852EF">
        <w:rPr>
          <w:sz w:val="28"/>
        </w:rPr>
        <w:t xml:space="preserve"> </w:t>
      </w:r>
    </w:p>
    <w:p w14:paraId="7BF0E964" w14:textId="77777777" w:rsidR="002726A4" w:rsidRPr="00B852EF" w:rsidRDefault="00AB7C49" w:rsidP="002726A4">
      <w:pPr>
        <w:keepNext/>
        <w:jc w:val="center"/>
        <w:rPr>
          <w:sz w:val="28"/>
        </w:rPr>
      </w:pPr>
      <w:r w:rsidRPr="00B852EF">
        <w:rPr>
          <w:sz w:val="28"/>
        </w:rPr>
        <w:t>AOP 081</w:t>
      </w:r>
      <w:r w:rsidR="002726A4" w:rsidRPr="00B852EF">
        <w:rPr>
          <w:sz w:val="28"/>
        </w:rPr>
        <w:t xml:space="preserve"> Ostala potraživanja</w:t>
      </w:r>
    </w:p>
    <w:p w14:paraId="26C48DC8" w14:textId="23ED2DE7" w:rsidR="003D13F4" w:rsidRPr="00B852EF" w:rsidRDefault="003D13F4" w:rsidP="000A4C6F">
      <w:pPr>
        <w:jc w:val="both"/>
      </w:pPr>
      <w:r w:rsidRPr="00B852EF">
        <w:t xml:space="preserve">Ostala potraživanja </w:t>
      </w:r>
      <w:r w:rsidR="000C38DB">
        <w:t xml:space="preserve">na dan 31. prosinca </w:t>
      </w:r>
      <w:r w:rsidR="00260ADB">
        <w:t>2021.</w:t>
      </w:r>
      <w:r w:rsidRPr="00B852EF">
        <w:t xml:space="preserve"> </w:t>
      </w:r>
      <w:r w:rsidR="00260ADB">
        <w:t>evidentirana</w:t>
      </w:r>
      <w:r w:rsidRPr="00B852EF">
        <w:t xml:space="preserve"> su u iznosu od 450.325.536 kuna, što je 44,8% više u odnosu na </w:t>
      </w:r>
      <w:r w:rsidR="000C38DB">
        <w:t xml:space="preserve">stanje 1. siječnja </w:t>
      </w:r>
      <w:r w:rsidRPr="00B852EF">
        <w:t>2020. godine.</w:t>
      </w:r>
    </w:p>
    <w:p w14:paraId="5841652E" w14:textId="77777777" w:rsidR="003D13F4" w:rsidRPr="00B852EF" w:rsidRDefault="003D13F4" w:rsidP="000A4C6F">
      <w:pPr>
        <w:jc w:val="both"/>
      </w:pPr>
    </w:p>
    <w:p w14:paraId="64368E59" w14:textId="01524522" w:rsidR="000A4C6F" w:rsidRDefault="003D13F4" w:rsidP="000A4C6F">
      <w:pPr>
        <w:jc w:val="both"/>
      </w:pPr>
      <w:r w:rsidRPr="00B852EF">
        <w:t>U iznosu od 450.325.536</w:t>
      </w:r>
      <w:r w:rsidR="00A876E8" w:rsidRPr="00B852EF">
        <w:t xml:space="preserve"> </w:t>
      </w:r>
      <w:r w:rsidR="00A876E8" w:rsidRPr="00B852EF">
        <w:rPr>
          <w:bCs/>
        </w:rPr>
        <w:t>kuna</w:t>
      </w:r>
      <w:r w:rsidR="000A4C6F" w:rsidRPr="00B852EF">
        <w:t xml:space="preserve"> najznačajnije je potraživanje za naknade bolovanja na teret HZZO–a u iznosu od</w:t>
      </w:r>
      <w:r w:rsidRPr="00B852EF">
        <w:t xml:space="preserve"> </w:t>
      </w:r>
      <w:r w:rsidR="00C518C8" w:rsidRPr="00B852EF">
        <w:t>435.778.895,44 kuna</w:t>
      </w:r>
      <w:r w:rsidR="00DC46A8" w:rsidRPr="00B852EF">
        <w:t xml:space="preserve">, </w:t>
      </w:r>
      <w:r w:rsidR="00C518C8" w:rsidRPr="00B852EF">
        <w:t xml:space="preserve">što predstavlja značajno povećanje u odnosu na ostvarenje u 2020. godini kada je iznosilo 281.607.110,80 </w:t>
      </w:r>
      <w:r w:rsidR="00A876E8" w:rsidRPr="00B852EF">
        <w:rPr>
          <w:bCs/>
        </w:rPr>
        <w:t>kuna</w:t>
      </w:r>
      <w:r w:rsidR="00C518C8" w:rsidRPr="00B852EF">
        <w:t xml:space="preserve">. Od ukupnog iznosa potraživanje za naknade bolovanja na teret HZZO–a s 362.530.097,38 </w:t>
      </w:r>
      <w:r w:rsidR="00A876E8" w:rsidRPr="00B852EF">
        <w:rPr>
          <w:bCs/>
        </w:rPr>
        <w:t>kuna</w:t>
      </w:r>
      <w:r w:rsidR="000A4C6F" w:rsidRPr="00B852EF">
        <w:t xml:space="preserve"> odnosi</w:t>
      </w:r>
      <w:r w:rsidR="00C518C8" w:rsidRPr="00B852EF">
        <w:t xml:space="preserve"> se</w:t>
      </w:r>
      <w:r w:rsidR="000A4C6F" w:rsidRPr="00B852EF">
        <w:t xml:space="preserve"> na potraživanja za bolovanje iznad 42 dana, a </w:t>
      </w:r>
      <w:r w:rsidR="00C518C8" w:rsidRPr="00B852EF">
        <w:t xml:space="preserve">73.248.798,06 </w:t>
      </w:r>
      <w:r w:rsidR="00A876E8" w:rsidRPr="00B852EF">
        <w:rPr>
          <w:bCs/>
        </w:rPr>
        <w:t>kune</w:t>
      </w:r>
      <w:r w:rsidR="000A4C6F" w:rsidRPr="00B852EF">
        <w:t xml:space="preserve"> za bolovanje za ozljede na radu. Radi se o potraživanjima za naknadu bolovanja zaposlenih kojima se plaće isplaćuju iz državnog proračuna.</w:t>
      </w:r>
    </w:p>
    <w:p w14:paraId="4C32DE07" w14:textId="77777777" w:rsidR="00C518C8" w:rsidRPr="003B30B6" w:rsidRDefault="00C518C8" w:rsidP="000A4C6F">
      <w:pPr>
        <w:jc w:val="both"/>
      </w:pPr>
    </w:p>
    <w:p w14:paraId="65AC3966" w14:textId="7E071894" w:rsidR="000A4C6F" w:rsidRPr="00B852EF" w:rsidRDefault="00B852EF" w:rsidP="000A4C6F">
      <w:pPr>
        <w:keepNext/>
        <w:jc w:val="center"/>
        <w:rPr>
          <w:sz w:val="28"/>
        </w:rPr>
      </w:pPr>
      <w:r w:rsidRPr="00B852EF">
        <w:rPr>
          <w:sz w:val="28"/>
        </w:rPr>
        <w:lastRenderedPageBreak/>
        <w:t>Bilješka 5</w:t>
      </w:r>
      <w:r w:rsidR="000A4C6F" w:rsidRPr="00B852EF">
        <w:rPr>
          <w:sz w:val="28"/>
        </w:rPr>
        <w:t>.</w:t>
      </w:r>
    </w:p>
    <w:p w14:paraId="1B22FBA3" w14:textId="77777777" w:rsidR="000A4C6F" w:rsidRPr="00B852EF" w:rsidRDefault="000A4C6F" w:rsidP="000A4C6F">
      <w:pPr>
        <w:keepNext/>
        <w:jc w:val="center"/>
        <w:rPr>
          <w:sz w:val="28"/>
        </w:rPr>
      </w:pPr>
      <w:r w:rsidRPr="00B852EF">
        <w:rPr>
          <w:sz w:val="28"/>
        </w:rPr>
        <w:t>AOP 085 Zajmovi kreditnim institucijama u javnom sektoru</w:t>
      </w:r>
    </w:p>
    <w:p w14:paraId="281C602D" w14:textId="34FF6D78" w:rsidR="001D0C5E" w:rsidRPr="00B852EF" w:rsidRDefault="001D0C5E" w:rsidP="001D0C5E">
      <w:pPr>
        <w:jc w:val="both"/>
      </w:pPr>
      <w:r w:rsidRPr="00B852EF">
        <w:t xml:space="preserve">Republika Hrvatska  - Ministarstvo financija i </w:t>
      </w:r>
      <w:r w:rsidR="000C38DB">
        <w:t>HBOR</w:t>
      </w:r>
      <w:r w:rsidRPr="00B852EF">
        <w:t xml:space="preserve"> zaključili su dana 26. lipnja 2020. Ugovor o zajmu broj: 1/2020 na iznos od 3.000.000.000,00 </w:t>
      </w:r>
      <w:r w:rsidR="00A876E8" w:rsidRPr="00B852EF">
        <w:rPr>
          <w:bCs/>
        </w:rPr>
        <w:t>kuna</w:t>
      </w:r>
      <w:r w:rsidRPr="00B852EF">
        <w:t xml:space="preserve"> rokovima isplate do 1. srpnja 2020. u iznosu od 1.500.000.000,00 </w:t>
      </w:r>
      <w:r w:rsidR="00A876E8" w:rsidRPr="00B852EF">
        <w:rPr>
          <w:bCs/>
        </w:rPr>
        <w:t>kuna</w:t>
      </w:r>
      <w:r w:rsidRPr="00B852EF">
        <w:t xml:space="preserve"> i do 15. prosinca 2020. u iznosu od 1.500.000.000,00 </w:t>
      </w:r>
      <w:r w:rsidR="00A876E8" w:rsidRPr="00B852EF">
        <w:rPr>
          <w:bCs/>
        </w:rPr>
        <w:t>kuna</w:t>
      </w:r>
      <w:r w:rsidRPr="00B852EF">
        <w:t xml:space="preserve"> s rokom otplate 15. prosinca 2023. Ovaj Ugovor je realiziran samo djelomično, naime 1. srpnja 2020. realizirana je prva isplata zajma u iznosu od 1.500.000.000,00 </w:t>
      </w:r>
      <w:r w:rsidR="00A876E8" w:rsidRPr="00B852EF">
        <w:rPr>
          <w:bCs/>
        </w:rPr>
        <w:t>kuna</w:t>
      </w:r>
      <w:r w:rsidR="000C38DB">
        <w:rPr>
          <w:bCs/>
        </w:rPr>
        <w:t>.</w:t>
      </w:r>
      <w:r w:rsidR="000C38DB">
        <w:t xml:space="preserve"> S</w:t>
      </w:r>
      <w:r w:rsidRPr="00B852EF">
        <w:t xml:space="preserve"> obzirom da </w:t>
      </w:r>
      <w:r w:rsidR="000C38DB">
        <w:t>HBOR tijekom 2020. nije imao</w:t>
      </w:r>
      <w:r w:rsidRPr="00B852EF">
        <w:t xml:space="preserve"> potrebu za dodatnim sredstv</w:t>
      </w:r>
      <w:r w:rsidR="000C38DB">
        <w:t>ima za osiguranje likvidnosti, d</w:t>
      </w:r>
      <w:r w:rsidRPr="00B852EF">
        <w:t>odatkom I. Ugovoru o zajmu b</w:t>
      </w:r>
      <w:r w:rsidR="0055091C">
        <w:t xml:space="preserve">roj 1/2020 od 4. veljače 2021. </w:t>
      </w:r>
      <w:r w:rsidRPr="00B852EF">
        <w:t xml:space="preserve">ugovoreni iznos zajma umanjuje se na 1.500.000.000,00 </w:t>
      </w:r>
      <w:r w:rsidR="00A876E8" w:rsidRPr="00B852EF">
        <w:rPr>
          <w:bCs/>
        </w:rPr>
        <w:t>kuna</w:t>
      </w:r>
      <w:r w:rsidRPr="00B852EF">
        <w:t xml:space="preserve">. </w:t>
      </w:r>
    </w:p>
    <w:p w14:paraId="63A26E85" w14:textId="77777777" w:rsidR="00187157" w:rsidRPr="00B852EF" w:rsidRDefault="00187157" w:rsidP="00187157"/>
    <w:p w14:paraId="6976CBCA" w14:textId="12DDEB94" w:rsidR="00187157" w:rsidRPr="00B852EF" w:rsidRDefault="00B852EF" w:rsidP="00187157">
      <w:pPr>
        <w:jc w:val="center"/>
        <w:rPr>
          <w:sz w:val="28"/>
        </w:rPr>
      </w:pPr>
      <w:r w:rsidRPr="00B852EF">
        <w:rPr>
          <w:sz w:val="28"/>
        </w:rPr>
        <w:t>Bilješka 6</w:t>
      </w:r>
      <w:r w:rsidR="00187157" w:rsidRPr="00B852EF">
        <w:rPr>
          <w:sz w:val="28"/>
        </w:rPr>
        <w:t xml:space="preserve">. </w:t>
      </w:r>
    </w:p>
    <w:p w14:paraId="0D74FEAB" w14:textId="77777777" w:rsidR="00187157" w:rsidRPr="00B852EF" w:rsidRDefault="001D0C5E" w:rsidP="00187157">
      <w:pPr>
        <w:jc w:val="center"/>
        <w:rPr>
          <w:sz w:val="28"/>
        </w:rPr>
      </w:pPr>
      <w:r w:rsidRPr="00B852EF">
        <w:rPr>
          <w:sz w:val="28"/>
        </w:rPr>
        <w:t>AOP 088</w:t>
      </w:r>
      <w:r w:rsidR="00187157" w:rsidRPr="00B852EF">
        <w:rPr>
          <w:sz w:val="28"/>
        </w:rPr>
        <w:t xml:space="preserve"> Zajmovi trgovačkim društvima u javnom sektoru</w:t>
      </w:r>
    </w:p>
    <w:p w14:paraId="1D47374A" w14:textId="269A3C6D" w:rsidR="001A730A" w:rsidRPr="00B852EF" w:rsidRDefault="008553E4" w:rsidP="00187157">
      <w:pPr>
        <w:keepNext/>
        <w:jc w:val="both"/>
      </w:pPr>
      <w:r w:rsidRPr="00B852EF">
        <w:t xml:space="preserve">Zajmovi dani trgovačkim društvima u javnom sektoru iznosili su na dan 31. prosinca 2021. 355.126.012 kuna. Najveći dio potraživanja odnosi se na potraživanje za kratkoročni zajam HŽ CARGO-u (50.000.000,00 kuna) i potraživanje za dugoročni zajam Croatia Airlines d.d. (250.000.000,00 kuna). Ostala značajnija potraživanja jesu potraživanja za dugoročne zajmove dane </w:t>
      </w:r>
      <w:proofErr w:type="spellStart"/>
      <w:r w:rsidRPr="00B852EF">
        <w:t>Ekoplusu</w:t>
      </w:r>
      <w:proofErr w:type="spellEnd"/>
      <w:r w:rsidRPr="00B852EF">
        <w:t xml:space="preserve"> d.o.o. (23.287.800,19 kuna) i  Nacionalnoj veletržnici (24.081.693,70 kuna).</w:t>
      </w:r>
    </w:p>
    <w:p w14:paraId="5020C283" w14:textId="77777777" w:rsidR="00187157" w:rsidRPr="00B852EF" w:rsidRDefault="00187157" w:rsidP="00187157">
      <w:pPr>
        <w:keepNext/>
        <w:jc w:val="both"/>
        <w:rPr>
          <w:sz w:val="22"/>
          <w:szCs w:val="22"/>
        </w:rPr>
      </w:pPr>
    </w:p>
    <w:p w14:paraId="13D2F103" w14:textId="2CF8AAE9" w:rsidR="00187157" w:rsidRPr="00B852EF" w:rsidRDefault="00187157" w:rsidP="00187157">
      <w:pPr>
        <w:jc w:val="center"/>
        <w:rPr>
          <w:sz w:val="28"/>
        </w:rPr>
      </w:pPr>
      <w:r w:rsidRPr="00B852EF">
        <w:rPr>
          <w:sz w:val="28"/>
        </w:rPr>
        <w:t>Bilješka</w:t>
      </w:r>
      <w:r w:rsidR="00B852EF" w:rsidRPr="00B852EF">
        <w:rPr>
          <w:sz w:val="28"/>
        </w:rPr>
        <w:t xml:space="preserve"> 7</w:t>
      </w:r>
      <w:r w:rsidRPr="00B852EF">
        <w:rPr>
          <w:sz w:val="28"/>
        </w:rPr>
        <w:t>.</w:t>
      </w:r>
    </w:p>
    <w:p w14:paraId="1E74B644" w14:textId="77777777" w:rsidR="00187157" w:rsidRPr="00B852EF" w:rsidRDefault="00FA0C28" w:rsidP="000F406D">
      <w:pPr>
        <w:jc w:val="center"/>
        <w:rPr>
          <w:sz w:val="28"/>
        </w:rPr>
      </w:pPr>
      <w:r w:rsidRPr="00B852EF">
        <w:rPr>
          <w:sz w:val="28"/>
        </w:rPr>
        <w:t>AOP 092</w:t>
      </w:r>
      <w:r w:rsidR="00187157" w:rsidRPr="00B852EF">
        <w:rPr>
          <w:sz w:val="28"/>
        </w:rPr>
        <w:t xml:space="preserve"> Zajmovi tuzemnim trgovačkim društvima izvan javnog sektora </w:t>
      </w:r>
      <w:r w:rsidR="000F406D" w:rsidRPr="00B852EF">
        <w:rPr>
          <w:sz w:val="28"/>
        </w:rPr>
        <w:t xml:space="preserve">i 093 Zajmovi tuzemnim obrtnicima </w:t>
      </w:r>
    </w:p>
    <w:p w14:paraId="571101A5" w14:textId="692F7202" w:rsidR="00C75BCC" w:rsidRPr="00B852EF" w:rsidRDefault="00C75BCC" w:rsidP="00C75BCC">
      <w:pPr>
        <w:jc w:val="both"/>
      </w:pPr>
      <w:r w:rsidRPr="00B852EF">
        <w:t xml:space="preserve">Potraživanja od tuzemnih trgovačkih društava izvan javnog sektora </w:t>
      </w:r>
      <w:r w:rsidR="00CD1371">
        <w:t xml:space="preserve">temeljem danih zajmova </w:t>
      </w:r>
      <w:r w:rsidR="0055091C">
        <w:t>na dan 31. prosinca 2021.</w:t>
      </w:r>
      <w:r w:rsidRPr="00B852EF">
        <w:t xml:space="preserve"> iznose </w:t>
      </w:r>
      <w:r w:rsidR="00F270CF">
        <w:rPr>
          <w:iCs/>
        </w:rPr>
        <w:t>747.263.203</w:t>
      </w:r>
      <w:r w:rsidR="00F44758">
        <w:rPr>
          <w:iCs/>
        </w:rPr>
        <w:t xml:space="preserve"> kuna</w:t>
      </w:r>
      <w:r w:rsidR="0055091C">
        <w:rPr>
          <w:iCs/>
        </w:rPr>
        <w:t xml:space="preserve">. </w:t>
      </w:r>
      <w:r w:rsidR="00F270CF">
        <w:rPr>
          <w:iCs/>
        </w:rPr>
        <w:t>Od navedenog iznosa</w:t>
      </w:r>
      <w:r w:rsidR="005E1830">
        <w:rPr>
          <w:iCs/>
        </w:rPr>
        <w:t xml:space="preserve"> najznačajniji dio odnosi se na</w:t>
      </w:r>
      <w:r w:rsidR="00F270CF">
        <w:rPr>
          <w:iCs/>
        </w:rPr>
        <w:t xml:space="preserve"> p</w:t>
      </w:r>
      <w:r w:rsidR="00F270CF" w:rsidRPr="00F270CF">
        <w:rPr>
          <w:iCs/>
        </w:rPr>
        <w:t>otraživanja</w:t>
      </w:r>
      <w:r w:rsidR="005E1830">
        <w:rPr>
          <w:iCs/>
        </w:rPr>
        <w:t xml:space="preserve"> po danim zajmovima bivšeg Fonda za razvoj i zapošljavanje </w:t>
      </w:r>
      <w:r w:rsidR="005E1830" w:rsidRPr="005E1830">
        <w:rPr>
          <w:iCs/>
        </w:rPr>
        <w:t xml:space="preserve">(FRZ) tuzemnim trgovačkim društvima </w:t>
      </w:r>
      <w:r w:rsidR="005E1830">
        <w:rPr>
          <w:iCs/>
        </w:rPr>
        <w:t>u iznosu od</w:t>
      </w:r>
      <w:r w:rsidR="005E1830" w:rsidRPr="005E1830">
        <w:rPr>
          <w:iCs/>
        </w:rPr>
        <w:t xml:space="preserve"> 567.558.081,29 kuna</w:t>
      </w:r>
      <w:r w:rsidR="005E1830">
        <w:rPr>
          <w:iCs/>
        </w:rPr>
        <w:t xml:space="preserve"> te na potraživanja</w:t>
      </w:r>
      <w:r w:rsidR="00F270CF" w:rsidRPr="00F270CF">
        <w:rPr>
          <w:iCs/>
        </w:rPr>
        <w:t xml:space="preserve"> za zajam </w:t>
      </w:r>
      <w:proofErr w:type="spellStart"/>
      <w:r w:rsidR="00F270CF" w:rsidRPr="00F270CF">
        <w:rPr>
          <w:iCs/>
        </w:rPr>
        <w:t>Alpha</w:t>
      </w:r>
      <w:proofErr w:type="spellEnd"/>
      <w:r w:rsidR="00F270CF" w:rsidRPr="00F270CF">
        <w:rPr>
          <w:iCs/>
        </w:rPr>
        <w:t xml:space="preserve"> Adriatic </w:t>
      </w:r>
      <w:proofErr w:type="spellStart"/>
      <w:r w:rsidR="00F270CF" w:rsidRPr="00F270CF">
        <w:rPr>
          <w:iCs/>
        </w:rPr>
        <w:t>predstečaj</w:t>
      </w:r>
      <w:proofErr w:type="spellEnd"/>
      <w:r w:rsidR="005E1830">
        <w:rPr>
          <w:iCs/>
        </w:rPr>
        <w:t xml:space="preserve"> koja</w:t>
      </w:r>
      <w:r w:rsidR="00F270CF" w:rsidRPr="00F270CF">
        <w:rPr>
          <w:iCs/>
        </w:rPr>
        <w:t xml:space="preserve"> na dan 31.12.2021.</w:t>
      </w:r>
      <w:r w:rsidR="005E1830">
        <w:rPr>
          <w:iCs/>
        </w:rPr>
        <w:t xml:space="preserve"> godine iznose</w:t>
      </w:r>
      <w:r w:rsidR="00F270CF">
        <w:rPr>
          <w:iCs/>
        </w:rPr>
        <w:t xml:space="preserve"> 178.357.551,90 kuna</w:t>
      </w:r>
      <w:r w:rsidR="005E1830">
        <w:rPr>
          <w:iCs/>
        </w:rPr>
        <w:t>.</w:t>
      </w:r>
      <w:r w:rsidRPr="00B852EF">
        <w:t xml:space="preserve"> </w:t>
      </w:r>
      <w:r w:rsidR="005E1830">
        <w:t>P</w:t>
      </w:r>
      <w:r w:rsidRPr="00B852EF">
        <w:t>otraživanja po danim zajmovima tuzemnim ob</w:t>
      </w:r>
      <w:r w:rsidR="00F44758">
        <w:t>rtnicima iznose 55.039.347,81 kuna</w:t>
      </w:r>
      <w:r w:rsidR="005E1830">
        <w:t>, a</w:t>
      </w:r>
      <w:r w:rsidR="005E1830" w:rsidRPr="005E1830">
        <w:t xml:space="preserve"> </w:t>
      </w:r>
      <w:r w:rsidR="005E1830">
        <w:t>odnose</w:t>
      </w:r>
      <w:r w:rsidR="005E1830" w:rsidRPr="005E1830">
        <w:t xml:space="preserve"> se na potraživanja po danim zajmovima bivšeg Fonda za razvoj i zapošljavanje (FRZ) na dan 31. prosinca 2021.</w:t>
      </w:r>
    </w:p>
    <w:p w14:paraId="427900AA" w14:textId="77777777" w:rsidR="00C75BCC" w:rsidRPr="00B852EF" w:rsidRDefault="00C75BCC" w:rsidP="00C75BCC"/>
    <w:p w14:paraId="7E07184D" w14:textId="3F4DD31A" w:rsidR="00737E94" w:rsidRPr="00B852EF" w:rsidRDefault="00B852EF" w:rsidP="00187157">
      <w:pPr>
        <w:keepNext/>
        <w:jc w:val="center"/>
        <w:rPr>
          <w:sz w:val="28"/>
        </w:rPr>
      </w:pPr>
      <w:r w:rsidRPr="00B852EF">
        <w:rPr>
          <w:sz w:val="28"/>
        </w:rPr>
        <w:t>Bilješka 8</w:t>
      </w:r>
      <w:r w:rsidR="00187157" w:rsidRPr="00B852EF">
        <w:rPr>
          <w:sz w:val="28"/>
        </w:rPr>
        <w:t>.</w:t>
      </w:r>
    </w:p>
    <w:p w14:paraId="26E21C3E" w14:textId="38E6A7F6" w:rsidR="00797018" w:rsidRPr="00B852EF" w:rsidRDefault="000F406D" w:rsidP="00797018">
      <w:pPr>
        <w:keepNext/>
        <w:jc w:val="center"/>
        <w:rPr>
          <w:sz w:val="28"/>
          <w:szCs w:val="28"/>
        </w:rPr>
      </w:pPr>
      <w:r w:rsidRPr="00B852EF">
        <w:rPr>
          <w:sz w:val="28"/>
          <w:szCs w:val="28"/>
        </w:rPr>
        <w:t>AOP 095</w:t>
      </w:r>
      <w:r w:rsidR="00187157" w:rsidRPr="00B852EF">
        <w:rPr>
          <w:sz w:val="28"/>
          <w:szCs w:val="28"/>
        </w:rPr>
        <w:t xml:space="preserve"> Zajmovi župani</w:t>
      </w:r>
      <w:r w:rsidR="007F2D4C">
        <w:rPr>
          <w:sz w:val="28"/>
          <w:szCs w:val="28"/>
        </w:rPr>
        <w:t>jskim proračunima,</w:t>
      </w:r>
      <w:r w:rsidRPr="00B852EF">
        <w:rPr>
          <w:sz w:val="28"/>
          <w:szCs w:val="28"/>
        </w:rPr>
        <w:t xml:space="preserve"> AOP 096</w:t>
      </w:r>
      <w:r w:rsidR="00187157" w:rsidRPr="00B852EF">
        <w:rPr>
          <w:sz w:val="28"/>
          <w:szCs w:val="28"/>
        </w:rPr>
        <w:t xml:space="preserve"> Zajmo</w:t>
      </w:r>
      <w:r w:rsidR="007F2D4C">
        <w:rPr>
          <w:sz w:val="28"/>
          <w:szCs w:val="28"/>
        </w:rPr>
        <w:t>vi gradskim proračunima i</w:t>
      </w:r>
      <w:r w:rsidRPr="00B852EF">
        <w:rPr>
          <w:sz w:val="28"/>
          <w:szCs w:val="28"/>
        </w:rPr>
        <w:t xml:space="preserve"> AOP 097</w:t>
      </w:r>
      <w:r w:rsidR="00187157" w:rsidRPr="00B852EF">
        <w:rPr>
          <w:sz w:val="28"/>
          <w:szCs w:val="28"/>
        </w:rPr>
        <w:t xml:space="preserve"> Zajmovi općinskim proračunima</w:t>
      </w:r>
    </w:p>
    <w:p w14:paraId="4B622CB2" w14:textId="0BDA2413" w:rsidR="00797018" w:rsidRPr="00B852EF" w:rsidRDefault="009D26BC" w:rsidP="00797018">
      <w:pPr>
        <w:jc w:val="both"/>
        <w:rPr>
          <w:szCs w:val="20"/>
        </w:rPr>
      </w:pPr>
      <w:r>
        <w:rPr>
          <w:szCs w:val="20"/>
        </w:rPr>
        <w:t>Na dan 31. prosinca 2021. p</w:t>
      </w:r>
      <w:r w:rsidR="00797018" w:rsidRPr="00B852EF">
        <w:rPr>
          <w:szCs w:val="20"/>
        </w:rPr>
        <w:t>otraživanja koja se odnose na zajmove dane županijskim, gradskim i općinskim proračunima u iznosu od 1.302.102.851,71 kune čine:</w:t>
      </w:r>
    </w:p>
    <w:p w14:paraId="10598F05" w14:textId="09219B3B" w:rsidR="00797018" w:rsidRPr="00B852EF" w:rsidRDefault="00797018" w:rsidP="00772BF6">
      <w:pPr>
        <w:pStyle w:val="Odlomakpopisa"/>
        <w:numPr>
          <w:ilvl w:val="0"/>
          <w:numId w:val="14"/>
        </w:numPr>
        <w:jc w:val="both"/>
        <w:rPr>
          <w:szCs w:val="20"/>
        </w:rPr>
      </w:pPr>
      <w:r w:rsidRPr="00B852EF">
        <w:rPr>
          <w:szCs w:val="20"/>
        </w:rPr>
        <w:t xml:space="preserve">potraživanja po danim beskamatnim zajmovima s osnova odgode i/ili obročne otplate odnosno oslobođenja od plaćanja poreza na dohodak i prireza porezu na dohodak, izvršenog povrata preplaćenog poreza na dohodak i prireza porezu na dohodak po godišnjem obračunu za 2019. </w:t>
      </w:r>
    </w:p>
    <w:p w14:paraId="56D06AF0" w14:textId="3CD41615" w:rsidR="00797018" w:rsidRPr="00B852EF" w:rsidRDefault="00797018" w:rsidP="00772BF6">
      <w:pPr>
        <w:pStyle w:val="Odlomakpopisa"/>
        <w:numPr>
          <w:ilvl w:val="0"/>
          <w:numId w:val="14"/>
        </w:numPr>
        <w:jc w:val="both"/>
        <w:rPr>
          <w:szCs w:val="20"/>
        </w:rPr>
      </w:pPr>
      <w:r w:rsidRPr="00B852EF">
        <w:rPr>
          <w:szCs w:val="20"/>
        </w:rPr>
        <w:t xml:space="preserve">potraživanja po beskamatnim zajmovima uslijed pada prihoda u 2020. godinu u odnosu na isto razdoblje 2019. </w:t>
      </w:r>
    </w:p>
    <w:p w14:paraId="14A354E7" w14:textId="15F93373" w:rsidR="00797018" w:rsidRDefault="00797018" w:rsidP="00772BF6">
      <w:pPr>
        <w:pStyle w:val="Odlomakpopisa"/>
        <w:numPr>
          <w:ilvl w:val="0"/>
          <w:numId w:val="14"/>
        </w:numPr>
        <w:jc w:val="both"/>
        <w:rPr>
          <w:szCs w:val="20"/>
        </w:rPr>
      </w:pPr>
      <w:r w:rsidRPr="00B852EF">
        <w:rPr>
          <w:szCs w:val="20"/>
        </w:rPr>
        <w:t>potraživanja po nedostajućim sredstvima korištenima za povrat poreza na dohodak i prireza porezu na dohodak po godišnjoj prijavi za 2020. godinu namirenih na teret jedinstvenog računa državnog proračuna u 2021. godini či</w:t>
      </w:r>
      <w:r w:rsidR="00627E47">
        <w:rPr>
          <w:szCs w:val="20"/>
        </w:rPr>
        <w:t>ji je pregled dan u Tablici 2</w:t>
      </w:r>
      <w:r w:rsidR="00FA00CF">
        <w:rPr>
          <w:szCs w:val="20"/>
        </w:rPr>
        <w:t>.</w:t>
      </w:r>
    </w:p>
    <w:p w14:paraId="30DCD980" w14:textId="339B41B3" w:rsidR="009D26BC" w:rsidRDefault="009D26BC" w:rsidP="009D26BC">
      <w:pPr>
        <w:pStyle w:val="Odlomakpopisa"/>
        <w:jc w:val="both"/>
        <w:rPr>
          <w:szCs w:val="20"/>
        </w:rPr>
      </w:pPr>
    </w:p>
    <w:p w14:paraId="62F4BDF2" w14:textId="4DCEE814" w:rsidR="009D26BC" w:rsidRPr="00B852EF" w:rsidRDefault="009D26BC" w:rsidP="009D26BC">
      <w:pPr>
        <w:tabs>
          <w:tab w:val="decimal" w:pos="8820"/>
        </w:tabs>
        <w:ind w:left="720"/>
        <w:jc w:val="both"/>
        <w:rPr>
          <w:b/>
          <w:sz w:val="20"/>
        </w:rPr>
      </w:pPr>
      <w:r>
        <w:rPr>
          <w:b/>
          <w:sz w:val="20"/>
        </w:rPr>
        <w:t xml:space="preserve">Tablica </w:t>
      </w:r>
      <w:r w:rsidR="00A654F7">
        <w:rPr>
          <w:b/>
          <w:sz w:val="20"/>
        </w:rPr>
        <w:t>2</w:t>
      </w:r>
      <w:r>
        <w:rPr>
          <w:b/>
          <w:sz w:val="20"/>
        </w:rPr>
        <w:t>.</w:t>
      </w:r>
    </w:p>
    <w:tbl>
      <w:tblPr>
        <w:tblW w:w="4460" w:type="pct"/>
        <w:jc w:val="center"/>
        <w:tblLook w:val="04A0" w:firstRow="1" w:lastRow="0" w:firstColumn="1" w:lastColumn="0" w:noHBand="0" w:noVBand="1"/>
      </w:tblPr>
      <w:tblGrid>
        <w:gridCol w:w="844"/>
        <w:gridCol w:w="5389"/>
        <w:gridCol w:w="2127"/>
      </w:tblGrid>
      <w:tr w:rsidR="009D26BC" w:rsidRPr="00B852EF" w14:paraId="356BD418" w14:textId="77777777" w:rsidTr="004127FA">
        <w:trPr>
          <w:trHeight w:val="600"/>
          <w:jc w:val="center"/>
        </w:trPr>
        <w:tc>
          <w:tcPr>
            <w:tcW w:w="505" w:type="pct"/>
            <w:tcBorders>
              <w:top w:val="single" w:sz="4" w:space="0" w:color="auto"/>
              <w:left w:val="single" w:sz="4" w:space="0" w:color="auto"/>
              <w:bottom w:val="single" w:sz="4" w:space="0" w:color="auto"/>
              <w:right w:val="single" w:sz="4" w:space="0" w:color="000000"/>
            </w:tcBorders>
            <w:vAlign w:val="center"/>
          </w:tcPr>
          <w:p w14:paraId="6227D4D6" w14:textId="77777777" w:rsidR="009D26BC" w:rsidRPr="00B852EF" w:rsidRDefault="009D26BC" w:rsidP="004127FA">
            <w:pPr>
              <w:jc w:val="center"/>
              <w:rPr>
                <w:b/>
                <w:bCs/>
                <w:sz w:val="20"/>
                <w:szCs w:val="20"/>
              </w:rPr>
            </w:pPr>
            <w:r w:rsidRPr="00B852EF">
              <w:rPr>
                <w:b/>
                <w:bCs/>
                <w:sz w:val="20"/>
                <w:szCs w:val="20"/>
              </w:rPr>
              <w:t>Red. broj</w:t>
            </w:r>
          </w:p>
        </w:tc>
        <w:tc>
          <w:tcPr>
            <w:tcW w:w="322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1D1379" w14:textId="77777777" w:rsidR="009D26BC" w:rsidRPr="00B852EF" w:rsidRDefault="009D26BC" w:rsidP="004127FA">
            <w:pPr>
              <w:jc w:val="center"/>
              <w:rPr>
                <w:b/>
                <w:bCs/>
                <w:sz w:val="20"/>
                <w:szCs w:val="20"/>
              </w:rPr>
            </w:pPr>
            <w:r w:rsidRPr="00B852EF">
              <w:rPr>
                <w:b/>
                <w:bCs/>
                <w:sz w:val="20"/>
                <w:szCs w:val="20"/>
              </w:rPr>
              <w:t>Opis</w:t>
            </w:r>
          </w:p>
        </w:tc>
        <w:tc>
          <w:tcPr>
            <w:tcW w:w="1272" w:type="pct"/>
            <w:tcBorders>
              <w:top w:val="single" w:sz="4" w:space="0" w:color="auto"/>
              <w:left w:val="nil"/>
              <w:bottom w:val="single" w:sz="4" w:space="0" w:color="auto"/>
              <w:right w:val="single" w:sz="4" w:space="0" w:color="auto"/>
            </w:tcBorders>
            <w:shd w:val="clear" w:color="auto" w:fill="auto"/>
            <w:vAlign w:val="center"/>
            <w:hideMark/>
          </w:tcPr>
          <w:p w14:paraId="4F80DADA" w14:textId="77777777" w:rsidR="009D26BC" w:rsidRPr="00B852EF" w:rsidRDefault="009D26BC" w:rsidP="004127FA">
            <w:pPr>
              <w:jc w:val="center"/>
              <w:rPr>
                <w:b/>
                <w:bCs/>
                <w:sz w:val="20"/>
                <w:szCs w:val="20"/>
              </w:rPr>
            </w:pPr>
            <w:r w:rsidRPr="00B852EF">
              <w:rPr>
                <w:b/>
                <w:bCs/>
                <w:sz w:val="20"/>
                <w:szCs w:val="20"/>
              </w:rPr>
              <w:t xml:space="preserve">Stanje ukupnih </w:t>
            </w:r>
          </w:p>
          <w:p w14:paraId="1D58CB7E" w14:textId="77777777" w:rsidR="009D26BC" w:rsidRPr="00B852EF" w:rsidRDefault="009D26BC" w:rsidP="004127FA">
            <w:pPr>
              <w:jc w:val="center"/>
              <w:rPr>
                <w:b/>
                <w:bCs/>
                <w:sz w:val="20"/>
                <w:szCs w:val="20"/>
              </w:rPr>
            </w:pPr>
            <w:r w:rsidRPr="00B852EF">
              <w:rPr>
                <w:b/>
                <w:bCs/>
                <w:sz w:val="20"/>
                <w:szCs w:val="20"/>
              </w:rPr>
              <w:t>potraživanja na</w:t>
            </w:r>
          </w:p>
          <w:p w14:paraId="728362A2" w14:textId="77777777" w:rsidR="009D26BC" w:rsidRPr="00B852EF" w:rsidRDefault="009D26BC" w:rsidP="004127FA">
            <w:pPr>
              <w:jc w:val="center"/>
              <w:rPr>
                <w:b/>
                <w:bCs/>
                <w:sz w:val="20"/>
                <w:szCs w:val="20"/>
              </w:rPr>
            </w:pPr>
            <w:r w:rsidRPr="00B852EF">
              <w:rPr>
                <w:b/>
                <w:bCs/>
                <w:sz w:val="20"/>
                <w:szCs w:val="20"/>
              </w:rPr>
              <w:t>31.12.2021.</w:t>
            </w:r>
          </w:p>
        </w:tc>
      </w:tr>
      <w:tr w:rsidR="009D26BC" w:rsidRPr="00B852EF" w14:paraId="299AC2B3" w14:textId="77777777" w:rsidTr="004127FA">
        <w:trPr>
          <w:trHeight w:val="31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04B45E49"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1691C787" w14:textId="77777777" w:rsidR="009D26BC" w:rsidRPr="00B852EF" w:rsidRDefault="009D26BC" w:rsidP="004127FA">
            <w:pPr>
              <w:rPr>
                <w:sz w:val="20"/>
                <w:szCs w:val="20"/>
              </w:rPr>
            </w:pPr>
            <w:r w:rsidRPr="00B852EF">
              <w:rPr>
                <w:sz w:val="20"/>
                <w:szCs w:val="20"/>
              </w:rPr>
              <w:t>Beskamatni zajmovi županijskim proračunima kratkoročni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71A03193" w14:textId="77777777" w:rsidR="009D26BC" w:rsidRPr="00B852EF" w:rsidRDefault="009D26BC" w:rsidP="004127FA">
            <w:pPr>
              <w:jc w:val="right"/>
              <w:rPr>
                <w:sz w:val="20"/>
                <w:szCs w:val="20"/>
              </w:rPr>
            </w:pPr>
            <w:r w:rsidRPr="00B852EF">
              <w:rPr>
                <w:sz w:val="20"/>
                <w:szCs w:val="20"/>
              </w:rPr>
              <w:t>25.261.707,04</w:t>
            </w:r>
          </w:p>
        </w:tc>
      </w:tr>
      <w:tr w:rsidR="009D26BC" w:rsidRPr="00B852EF" w14:paraId="1BFD2D0E" w14:textId="77777777" w:rsidTr="004127FA">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312C0EE4"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02440DB5" w14:textId="77777777" w:rsidR="009D26BC" w:rsidRPr="00B852EF" w:rsidRDefault="009D26BC" w:rsidP="004127FA">
            <w:pPr>
              <w:rPr>
                <w:sz w:val="20"/>
                <w:szCs w:val="20"/>
              </w:rPr>
            </w:pPr>
            <w:r w:rsidRPr="00B852EF">
              <w:rPr>
                <w:sz w:val="20"/>
                <w:szCs w:val="20"/>
              </w:rPr>
              <w:t>Beskamatni zajmovi županijskim proračunima dugoročni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07CE9A2C" w14:textId="77777777" w:rsidR="009D26BC" w:rsidRPr="00B852EF" w:rsidRDefault="009D26BC" w:rsidP="004127FA">
            <w:pPr>
              <w:jc w:val="right"/>
              <w:rPr>
                <w:sz w:val="20"/>
                <w:szCs w:val="20"/>
              </w:rPr>
            </w:pPr>
            <w:r w:rsidRPr="00B852EF">
              <w:rPr>
                <w:sz w:val="20"/>
                <w:szCs w:val="20"/>
              </w:rPr>
              <w:t>153.950.366,88</w:t>
            </w:r>
          </w:p>
        </w:tc>
      </w:tr>
      <w:tr w:rsidR="009D26BC" w:rsidRPr="00B852EF" w14:paraId="5DD7B9BF" w14:textId="77777777" w:rsidTr="004127FA">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5AB63CDB"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1C4972CB" w14:textId="77777777" w:rsidR="009D26BC" w:rsidRPr="00B852EF" w:rsidRDefault="009D26BC" w:rsidP="004127FA">
            <w:pPr>
              <w:rPr>
                <w:sz w:val="20"/>
                <w:szCs w:val="20"/>
              </w:rPr>
            </w:pPr>
            <w:r w:rsidRPr="00B852EF">
              <w:rPr>
                <w:sz w:val="20"/>
                <w:szCs w:val="20"/>
              </w:rPr>
              <w:t>Beskamatni zajmovi gradskim proračunima kratkoročni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48C58DA4" w14:textId="77777777" w:rsidR="009D26BC" w:rsidRPr="00B852EF" w:rsidRDefault="009D26BC" w:rsidP="004127FA">
            <w:pPr>
              <w:jc w:val="right"/>
              <w:rPr>
                <w:sz w:val="20"/>
                <w:szCs w:val="20"/>
              </w:rPr>
            </w:pPr>
            <w:r w:rsidRPr="00B852EF">
              <w:rPr>
                <w:sz w:val="20"/>
                <w:szCs w:val="20"/>
              </w:rPr>
              <w:t>49.841.695,71</w:t>
            </w:r>
          </w:p>
        </w:tc>
      </w:tr>
      <w:tr w:rsidR="009D26BC" w:rsidRPr="00B852EF" w14:paraId="3A514641" w14:textId="77777777" w:rsidTr="004127FA">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37FDC72D"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1DCEEDAE" w14:textId="77777777" w:rsidR="009D26BC" w:rsidRPr="00B852EF" w:rsidRDefault="009D26BC" w:rsidP="004127FA">
            <w:pPr>
              <w:rPr>
                <w:sz w:val="20"/>
                <w:szCs w:val="20"/>
              </w:rPr>
            </w:pPr>
            <w:r w:rsidRPr="00B852EF">
              <w:rPr>
                <w:sz w:val="20"/>
                <w:szCs w:val="20"/>
              </w:rPr>
              <w:t>Beskamatni zajmovi gradskim proračunima dugoročni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2680E801" w14:textId="77777777" w:rsidR="009D26BC" w:rsidRPr="00B852EF" w:rsidRDefault="009D26BC" w:rsidP="004127FA">
            <w:pPr>
              <w:jc w:val="right"/>
              <w:rPr>
                <w:sz w:val="20"/>
                <w:szCs w:val="20"/>
              </w:rPr>
            </w:pPr>
            <w:r w:rsidRPr="00B852EF">
              <w:rPr>
                <w:sz w:val="20"/>
                <w:szCs w:val="20"/>
              </w:rPr>
              <w:t>906.260.726,52</w:t>
            </w:r>
          </w:p>
        </w:tc>
      </w:tr>
      <w:tr w:rsidR="009D26BC" w:rsidRPr="00B852EF" w14:paraId="44E74D8F" w14:textId="77777777" w:rsidTr="004127FA">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5B0107EC"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5199E08B" w14:textId="77777777" w:rsidR="009D26BC" w:rsidRPr="00B852EF" w:rsidRDefault="009D26BC" w:rsidP="004127FA">
            <w:pPr>
              <w:rPr>
                <w:sz w:val="20"/>
                <w:szCs w:val="20"/>
              </w:rPr>
            </w:pPr>
            <w:r w:rsidRPr="00B852EF">
              <w:rPr>
                <w:sz w:val="20"/>
                <w:szCs w:val="20"/>
              </w:rPr>
              <w:t>Beskamatni zajmovi općinskim proračunima kratkoročni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17481F59" w14:textId="77777777" w:rsidR="009D26BC" w:rsidRPr="00B852EF" w:rsidRDefault="009D26BC" w:rsidP="004127FA">
            <w:pPr>
              <w:jc w:val="right"/>
              <w:rPr>
                <w:sz w:val="20"/>
                <w:szCs w:val="20"/>
              </w:rPr>
            </w:pPr>
            <w:r w:rsidRPr="00B852EF">
              <w:rPr>
                <w:sz w:val="20"/>
                <w:szCs w:val="20"/>
              </w:rPr>
              <w:t>67.902.713,35</w:t>
            </w:r>
          </w:p>
        </w:tc>
      </w:tr>
      <w:tr w:rsidR="009D26BC" w:rsidRPr="003B30B6" w14:paraId="1CBC9642" w14:textId="77777777" w:rsidTr="004127FA">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78973193" w14:textId="77777777" w:rsidR="009D26BC" w:rsidRPr="00B852EF" w:rsidRDefault="009D26BC" w:rsidP="004127FA">
            <w:pPr>
              <w:pStyle w:val="Odlomakpopisa"/>
              <w:numPr>
                <w:ilvl w:val="0"/>
                <w:numId w:val="10"/>
              </w:numPr>
              <w:rPr>
                <w:sz w:val="20"/>
                <w:szCs w:val="20"/>
              </w:rPr>
            </w:pPr>
          </w:p>
        </w:tc>
        <w:tc>
          <w:tcPr>
            <w:tcW w:w="3222" w:type="pct"/>
            <w:tcBorders>
              <w:top w:val="nil"/>
              <w:left w:val="single" w:sz="4" w:space="0" w:color="auto"/>
              <w:bottom w:val="single" w:sz="4" w:space="0" w:color="auto"/>
              <w:right w:val="single" w:sz="4" w:space="0" w:color="auto"/>
            </w:tcBorders>
            <w:shd w:val="clear" w:color="000000" w:fill="FFFFFF"/>
            <w:noWrap/>
            <w:vAlign w:val="center"/>
            <w:hideMark/>
          </w:tcPr>
          <w:p w14:paraId="5B55D14E" w14:textId="77777777" w:rsidR="009D26BC" w:rsidRPr="00B852EF" w:rsidRDefault="009D26BC" w:rsidP="004127FA">
            <w:pPr>
              <w:rPr>
                <w:sz w:val="20"/>
                <w:szCs w:val="20"/>
              </w:rPr>
            </w:pPr>
            <w:r w:rsidRPr="00B852EF">
              <w:rPr>
                <w:sz w:val="20"/>
                <w:szCs w:val="20"/>
              </w:rPr>
              <w:t>Beskamatni zajmovi općinskim proračunima dugoročni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064B95C0" w14:textId="77777777" w:rsidR="009D26BC" w:rsidRPr="003B30B6" w:rsidRDefault="009D26BC" w:rsidP="004127FA">
            <w:pPr>
              <w:jc w:val="right"/>
              <w:rPr>
                <w:sz w:val="20"/>
                <w:szCs w:val="20"/>
              </w:rPr>
            </w:pPr>
            <w:r w:rsidRPr="00B852EF">
              <w:rPr>
                <w:sz w:val="20"/>
                <w:szCs w:val="20"/>
              </w:rPr>
              <w:t>98.885.642,21</w:t>
            </w:r>
          </w:p>
        </w:tc>
      </w:tr>
    </w:tbl>
    <w:p w14:paraId="66343BC7" w14:textId="77777777" w:rsidR="009D26BC" w:rsidRPr="00B852EF" w:rsidRDefault="009D26BC" w:rsidP="009D26BC">
      <w:pPr>
        <w:pStyle w:val="Odlomakpopisa"/>
        <w:jc w:val="both"/>
        <w:rPr>
          <w:szCs w:val="20"/>
        </w:rPr>
      </w:pPr>
    </w:p>
    <w:p w14:paraId="38F0D26E" w14:textId="32059631" w:rsidR="00E67B72" w:rsidRPr="003B30B6" w:rsidRDefault="009D26BC" w:rsidP="009D26BC">
      <w:pPr>
        <w:tabs>
          <w:tab w:val="decimal" w:pos="8820"/>
        </w:tabs>
        <w:jc w:val="both"/>
      </w:pPr>
      <w:r>
        <w:t>P</w:t>
      </w:r>
      <w:r w:rsidR="00344A59" w:rsidRPr="00B852EF">
        <w:t>otraživanja za dane zajmove drugim razinama vlasti za dane međuna</w:t>
      </w:r>
      <w:r>
        <w:t>rodne zajmove - EIB 25749 odnose</w:t>
      </w:r>
      <w:r w:rsidR="00344A59" w:rsidRPr="00B852EF">
        <w:t xml:space="preserve"> se na zajmove dane županijskim proračunima u iznosu </w:t>
      </w:r>
      <w:r w:rsidR="00EA4B51" w:rsidRPr="00B852EF">
        <w:t>68.467.007,60</w:t>
      </w:r>
      <w:r w:rsidR="00344A59" w:rsidRPr="00B852EF">
        <w:t xml:space="preserve"> </w:t>
      </w:r>
      <w:r w:rsidR="00EA4B51" w:rsidRPr="00B852EF">
        <w:rPr>
          <w:bCs/>
        </w:rPr>
        <w:t>kuna</w:t>
      </w:r>
      <w:r w:rsidR="00344A59" w:rsidRPr="00B852EF">
        <w:t xml:space="preserve"> (Istarska i Primorsko-goranska) i na zajmove dane gradskim</w:t>
      </w:r>
      <w:r w:rsidR="00EA4B51" w:rsidRPr="00B852EF">
        <w:t xml:space="preserve"> proračunima u iznosu 36.475.195,86</w:t>
      </w:r>
      <w:r w:rsidR="00344A59" w:rsidRPr="00B852EF">
        <w:t xml:space="preserve"> </w:t>
      </w:r>
      <w:r w:rsidR="00EA4B51" w:rsidRPr="00B852EF">
        <w:rPr>
          <w:bCs/>
        </w:rPr>
        <w:t>kuna</w:t>
      </w:r>
      <w:r w:rsidR="00344A59" w:rsidRPr="00B852EF">
        <w:t xml:space="preserve"> (Rijeka i Šibenik).</w:t>
      </w:r>
    </w:p>
    <w:p w14:paraId="002F5CA1" w14:textId="2BC28A84" w:rsidR="00187157" w:rsidRPr="003B30B6" w:rsidRDefault="00187157" w:rsidP="00237246">
      <w:pPr>
        <w:keepNext/>
        <w:rPr>
          <w:bCs/>
          <w:sz w:val="28"/>
          <w:szCs w:val="28"/>
        </w:rPr>
      </w:pPr>
    </w:p>
    <w:p w14:paraId="34014DC0" w14:textId="005C5529" w:rsidR="00187157" w:rsidRPr="00B852EF" w:rsidRDefault="00B852EF" w:rsidP="00187157">
      <w:pPr>
        <w:keepNext/>
        <w:jc w:val="center"/>
        <w:rPr>
          <w:bCs/>
          <w:sz w:val="28"/>
          <w:szCs w:val="28"/>
        </w:rPr>
      </w:pPr>
      <w:r w:rsidRPr="00B852EF">
        <w:rPr>
          <w:bCs/>
          <w:sz w:val="28"/>
          <w:szCs w:val="28"/>
        </w:rPr>
        <w:t>Bilješka 9</w:t>
      </w:r>
      <w:r w:rsidR="00187157" w:rsidRPr="00B852EF">
        <w:rPr>
          <w:bCs/>
          <w:sz w:val="28"/>
          <w:szCs w:val="28"/>
        </w:rPr>
        <w:t xml:space="preserve">. </w:t>
      </w:r>
    </w:p>
    <w:p w14:paraId="3110A09C" w14:textId="77777777" w:rsidR="00187157" w:rsidRPr="00B852EF" w:rsidRDefault="000F406D" w:rsidP="00187157">
      <w:pPr>
        <w:keepNext/>
        <w:jc w:val="center"/>
        <w:rPr>
          <w:bCs/>
          <w:sz w:val="28"/>
          <w:szCs w:val="28"/>
        </w:rPr>
      </w:pPr>
      <w:r w:rsidRPr="00B852EF">
        <w:rPr>
          <w:bCs/>
          <w:sz w:val="28"/>
          <w:szCs w:val="28"/>
        </w:rPr>
        <w:t>AOP 098 Zajmovi HZMO-u, HZZ-u, HZZO-u i AOP 099</w:t>
      </w:r>
      <w:r w:rsidR="00187157" w:rsidRPr="00B852EF">
        <w:rPr>
          <w:bCs/>
          <w:sz w:val="28"/>
          <w:szCs w:val="28"/>
        </w:rPr>
        <w:t xml:space="preserve"> Zajmovi ostalim izvanproračunskim korisnicima državnog proračuna</w:t>
      </w:r>
    </w:p>
    <w:p w14:paraId="01C2FFE8" w14:textId="167C92F7" w:rsidR="000F406D" w:rsidRPr="00B852EF" w:rsidRDefault="00344A59" w:rsidP="00187157">
      <w:pPr>
        <w:jc w:val="both"/>
      </w:pPr>
      <w:r w:rsidRPr="00B852EF">
        <w:t>Potraživanja za dane zajmove HZMO-u, HZZ-u, HZZO</w:t>
      </w:r>
      <w:r w:rsidR="009D26BC">
        <w:t>-u na dan 31. prosinca 2021. (AOP</w:t>
      </w:r>
      <w:r w:rsidRPr="00B852EF">
        <w:t xml:space="preserve"> 098</w:t>
      </w:r>
      <w:r w:rsidR="009D26BC">
        <w:t>)</w:t>
      </w:r>
      <w:r w:rsidR="00F44758">
        <w:t xml:space="preserve"> iznosila su 1.064.978.523,11 kuna</w:t>
      </w:r>
      <w:r w:rsidRPr="00B852EF">
        <w:t>. Navedena potraživanja odnose se na beskamatne zajmove isplaćene Hrvatskom zavodu za zdravstveno osiguranje temeljem odgode/obročne otplate te oslobođenja od plaćanja doprinosa u skladu s Naputkom o načinu isplate beskamatnog zajma JLP(R)S, HZMO i HZZO-u, Hrvatskom zavodu za zdravstveno osiguranje koje je isti dužan vratiti u roku od tri godine, počevši od 2021. godine (oslobođenje od plaćanja).</w:t>
      </w:r>
    </w:p>
    <w:p w14:paraId="13D7D68F" w14:textId="77777777" w:rsidR="00344A59" w:rsidRPr="00B852EF" w:rsidRDefault="00344A59" w:rsidP="00187157">
      <w:pPr>
        <w:jc w:val="both"/>
      </w:pPr>
    </w:p>
    <w:p w14:paraId="30E01F41" w14:textId="0DF4152B" w:rsidR="00CA3D5E" w:rsidRPr="003B30B6" w:rsidRDefault="00CA3D5E" w:rsidP="00CA3D5E">
      <w:pPr>
        <w:jc w:val="both"/>
      </w:pPr>
      <w:r w:rsidRPr="00B852EF">
        <w:t>Potraživanja za dane zajmove ostalim izvanproračunskim korisnicima državnog pr</w:t>
      </w:r>
      <w:r w:rsidR="00344A59" w:rsidRPr="00B852EF">
        <w:t>oračuna na dan 31. prosinca 2021. iznosila su 9.774.445.763</w:t>
      </w:r>
      <w:r w:rsidRPr="00B852EF">
        <w:t xml:space="preserve"> </w:t>
      </w:r>
      <w:r w:rsidR="00FE019C" w:rsidRPr="00B852EF">
        <w:rPr>
          <w:bCs/>
        </w:rPr>
        <w:t>kuna</w:t>
      </w:r>
      <w:r w:rsidR="009D26BC">
        <w:rPr>
          <w:bCs/>
        </w:rPr>
        <w:t xml:space="preserve"> (AOP 099)</w:t>
      </w:r>
      <w:r w:rsidRPr="00B852EF">
        <w:t xml:space="preserve"> od čega se najveći dio odnosi na zajmove dane Hrvatskim autocestama d.o.o., Hrvatskim cestama d.o.o. te Autocesti Rijeka – Zagreb </w:t>
      </w:r>
      <w:proofErr w:type="spellStart"/>
      <w:r w:rsidRPr="00B852EF">
        <w:t>d.d</w:t>
      </w:r>
      <w:proofErr w:type="spellEnd"/>
      <w:r w:rsidRPr="00B852EF">
        <w:t xml:space="preserve"> i preostala su potraživanja za zajmove temeljem Sporazuma o međusobnim obvezama i potraživanjima s Centrom za restrukturiranje i prodaju.</w:t>
      </w:r>
      <w:r w:rsidRPr="003B30B6">
        <w:t xml:space="preserve"> </w:t>
      </w:r>
    </w:p>
    <w:p w14:paraId="51FC94BD" w14:textId="5E4D9666" w:rsidR="00E568D7" w:rsidRPr="003B30B6" w:rsidRDefault="00E568D7" w:rsidP="00187157">
      <w:pPr>
        <w:jc w:val="both"/>
      </w:pPr>
    </w:p>
    <w:p w14:paraId="61E300FB" w14:textId="6B169552" w:rsidR="00187157" w:rsidRPr="00B852EF" w:rsidRDefault="00B852EF" w:rsidP="00187157">
      <w:pPr>
        <w:keepNext/>
        <w:jc w:val="center"/>
        <w:rPr>
          <w:sz w:val="28"/>
        </w:rPr>
      </w:pPr>
      <w:r w:rsidRPr="00B852EF">
        <w:rPr>
          <w:sz w:val="28"/>
        </w:rPr>
        <w:t>Bilješka 10</w:t>
      </w:r>
      <w:r w:rsidR="00187157" w:rsidRPr="00B852EF">
        <w:rPr>
          <w:sz w:val="28"/>
        </w:rPr>
        <w:t>.</w:t>
      </w:r>
    </w:p>
    <w:p w14:paraId="5CA993B8" w14:textId="77777777" w:rsidR="00187157" w:rsidRPr="00B852EF" w:rsidRDefault="00E73F2D" w:rsidP="00187157">
      <w:pPr>
        <w:keepNext/>
        <w:jc w:val="center"/>
        <w:rPr>
          <w:sz w:val="28"/>
        </w:rPr>
      </w:pPr>
      <w:r w:rsidRPr="00B852EF">
        <w:rPr>
          <w:sz w:val="28"/>
        </w:rPr>
        <w:t>AOP 127</w:t>
      </w:r>
      <w:r w:rsidR="00187157" w:rsidRPr="00B852EF">
        <w:rPr>
          <w:sz w:val="28"/>
        </w:rPr>
        <w:t xml:space="preserve"> Ostali vrijednosni papiri (inozemni)</w:t>
      </w:r>
    </w:p>
    <w:p w14:paraId="7094E151" w14:textId="735C585C" w:rsidR="00187157" w:rsidRDefault="004A2ABE" w:rsidP="00187157">
      <w:pPr>
        <w:jc w:val="both"/>
      </w:pPr>
      <w:r>
        <w:t>Na dan 31. prosinca 2021. vrijednost ostalih vrijednosnih papira u iznosu</w:t>
      </w:r>
      <w:r w:rsidR="00187157" w:rsidRPr="00B852EF">
        <w:t xml:space="preserve"> od </w:t>
      </w:r>
      <w:r w:rsidR="00344A59" w:rsidRPr="00B852EF">
        <w:t xml:space="preserve">26.800.683 </w:t>
      </w:r>
      <w:r w:rsidR="00FE019C" w:rsidRPr="00B852EF">
        <w:rPr>
          <w:bCs/>
        </w:rPr>
        <w:t>kuna</w:t>
      </w:r>
      <w:r w:rsidR="00187157" w:rsidRPr="00B852EF">
        <w:t xml:space="preserve"> odnosi se na investicijski fond - J.P. Morgan Fleming.</w:t>
      </w:r>
    </w:p>
    <w:p w14:paraId="38B6C7EB" w14:textId="77777777" w:rsidR="004A2ABE" w:rsidRPr="003B30B6" w:rsidRDefault="004A2ABE" w:rsidP="00187157">
      <w:pPr>
        <w:jc w:val="both"/>
      </w:pPr>
    </w:p>
    <w:p w14:paraId="5B973C60" w14:textId="1F81EA07" w:rsidR="00DC0F76" w:rsidRPr="00B852EF" w:rsidRDefault="00B852EF" w:rsidP="00DC0F76">
      <w:pPr>
        <w:keepNext/>
        <w:jc w:val="center"/>
        <w:rPr>
          <w:sz w:val="28"/>
        </w:rPr>
      </w:pPr>
      <w:r w:rsidRPr="00B852EF">
        <w:rPr>
          <w:sz w:val="28"/>
        </w:rPr>
        <w:t>Bilješka 11</w:t>
      </w:r>
      <w:r w:rsidR="00DC0F76" w:rsidRPr="00B852EF">
        <w:rPr>
          <w:sz w:val="28"/>
        </w:rPr>
        <w:t>.</w:t>
      </w:r>
    </w:p>
    <w:p w14:paraId="53F41AEC" w14:textId="77777777" w:rsidR="00A616A8" w:rsidRPr="00B852EF" w:rsidRDefault="00A616A8" w:rsidP="00DC0F76">
      <w:pPr>
        <w:keepNext/>
        <w:jc w:val="center"/>
        <w:rPr>
          <w:sz w:val="28"/>
        </w:rPr>
      </w:pPr>
      <w:r w:rsidRPr="00B852EF">
        <w:rPr>
          <w:sz w:val="28"/>
        </w:rPr>
        <w:t>AOP 134 Dionice i udjeli u glavnici trgovačkih društava u javnom sektoru</w:t>
      </w:r>
    </w:p>
    <w:p w14:paraId="56B9A6BA" w14:textId="41833CB7" w:rsidR="003D546C" w:rsidRPr="00B852EF" w:rsidRDefault="003D546C" w:rsidP="00A616A8">
      <w:pPr>
        <w:jc w:val="both"/>
      </w:pPr>
      <w:r w:rsidRPr="00B852EF">
        <w:t xml:space="preserve">Sukladno Odluci Vlade Republike Hrvatske od 14. prosinca 2020. o odobrenju državne potpore društvu Croatia Airlines d.d. sukladno privremenom okviru Europske komisije kojim se državama članicama omogućuje dodatna pomoć gospodarstvu zbog </w:t>
      </w:r>
      <w:proofErr w:type="spellStart"/>
      <w:r w:rsidRPr="00B852EF">
        <w:t>pandemije</w:t>
      </w:r>
      <w:proofErr w:type="spellEnd"/>
      <w:r w:rsidRPr="00B852EF">
        <w:t xml:space="preserve"> COVID-19 dana je suglasnost za povećanje temeljnog kapitala društva Croatia Airlines d.d. koje se je provelo ulogom Republike Hrvatske u novcu u iznosu od 350.000.000 </w:t>
      </w:r>
      <w:r w:rsidR="00FE019C" w:rsidRPr="00B852EF">
        <w:rPr>
          <w:bCs/>
        </w:rPr>
        <w:t>kuna</w:t>
      </w:r>
      <w:r w:rsidRPr="00B852EF">
        <w:t xml:space="preserve"> (izdavanjem novih 35.000.000 redovnih dionica na ime, nominalnog iznosa 10 </w:t>
      </w:r>
      <w:r w:rsidR="00FE019C" w:rsidRPr="00B852EF">
        <w:rPr>
          <w:bCs/>
        </w:rPr>
        <w:t>kuna</w:t>
      </w:r>
      <w:r w:rsidRPr="00B852EF">
        <w:t xml:space="preserve"> po dionici).</w:t>
      </w:r>
      <w:r w:rsidR="00797018" w:rsidRPr="00B852EF">
        <w:t xml:space="preserve"> Nakon provedenog prijenosa dionica na Ministarstvo prostornog uređenja, graditeljstva i državne imovine, Ministarstvo financija je iz svojih poslovnih evidencija </w:t>
      </w:r>
      <w:proofErr w:type="spellStart"/>
      <w:r w:rsidR="00797018" w:rsidRPr="00B852EF">
        <w:t>isknjižilo</w:t>
      </w:r>
      <w:proofErr w:type="spellEnd"/>
      <w:r w:rsidR="00797018" w:rsidRPr="00B852EF">
        <w:t xml:space="preserve"> </w:t>
      </w:r>
      <w:r w:rsidR="0053353D">
        <w:t>dionice stečene dokapitalizacijom društva</w:t>
      </w:r>
      <w:r w:rsidR="0078690B" w:rsidRPr="00B852EF">
        <w:t>.</w:t>
      </w:r>
    </w:p>
    <w:p w14:paraId="2B3E02FD" w14:textId="77777777" w:rsidR="00187157" w:rsidRPr="00B852EF" w:rsidRDefault="00187157" w:rsidP="00187157">
      <w:pPr>
        <w:jc w:val="center"/>
        <w:rPr>
          <w:sz w:val="28"/>
        </w:rPr>
      </w:pPr>
    </w:p>
    <w:p w14:paraId="05058073" w14:textId="074D0638" w:rsidR="00187157" w:rsidRPr="00B852EF" w:rsidRDefault="00B852EF" w:rsidP="00187157">
      <w:pPr>
        <w:jc w:val="center"/>
        <w:rPr>
          <w:sz w:val="28"/>
        </w:rPr>
      </w:pPr>
      <w:r w:rsidRPr="00B852EF">
        <w:rPr>
          <w:sz w:val="28"/>
        </w:rPr>
        <w:t>Bilješka 12</w:t>
      </w:r>
      <w:r w:rsidR="00187157" w:rsidRPr="00B852EF">
        <w:rPr>
          <w:sz w:val="28"/>
        </w:rPr>
        <w:t>.</w:t>
      </w:r>
    </w:p>
    <w:p w14:paraId="3F1D7BC4" w14:textId="77777777" w:rsidR="00187157" w:rsidRPr="00B852EF" w:rsidRDefault="003D546C" w:rsidP="00187157">
      <w:pPr>
        <w:jc w:val="center"/>
        <w:rPr>
          <w:sz w:val="28"/>
        </w:rPr>
      </w:pPr>
      <w:r w:rsidRPr="00B852EF">
        <w:rPr>
          <w:sz w:val="28"/>
        </w:rPr>
        <w:t>AOP 138</w:t>
      </w:r>
      <w:r w:rsidR="00187157" w:rsidRPr="00B852EF">
        <w:rPr>
          <w:sz w:val="28"/>
        </w:rPr>
        <w:t xml:space="preserve"> Dionice i udjeli u glavnici inozemnih kreditnih i ostalih fin</w:t>
      </w:r>
      <w:r w:rsidRPr="00B852EF">
        <w:rPr>
          <w:sz w:val="28"/>
        </w:rPr>
        <w:t>ancijskih institucija</w:t>
      </w:r>
    </w:p>
    <w:p w14:paraId="6921ECAF" w14:textId="7CA37194" w:rsidR="00187157" w:rsidRPr="00B852EF" w:rsidRDefault="0053353D" w:rsidP="00187157">
      <w:pPr>
        <w:jc w:val="both"/>
      </w:pPr>
      <w:r>
        <w:t>Stanje na dan 31. prosinca 2021. u i</w:t>
      </w:r>
      <w:r w:rsidR="004E1036" w:rsidRPr="00B852EF">
        <w:t>znos</w:t>
      </w:r>
      <w:r>
        <w:t>u</w:t>
      </w:r>
      <w:r w:rsidR="004E1036" w:rsidRPr="00B852EF">
        <w:t xml:space="preserve"> od 1.271.456.076 </w:t>
      </w:r>
      <w:r w:rsidR="00FE019C" w:rsidRPr="00B852EF">
        <w:rPr>
          <w:bCs/>
        </w:rPr>
        <w:t>kun</w:t>
      </w:r>
      <w:r w:rsidR="004E1036" w:rsidRPr="00B852EF">
        <w:rPr>
          <w:bCs/>
        </w:rPr>
        <w:t>a</w:t>
      </w:r>
      <w:r w:rsidR="00187157" w:rsidRPr="00B852EF">
        <w:t xml:space="preserve"> odnosi se na članski kapital u bankama IBRD, IDA, IFC, MIGA, </w:t>
      </w:r>
      <w:r w:rsidR="00A44503" w:rsidRPr="00B852EF">
        <w:t xml:space="preserve">EIB, EBRD, IDB, </w:t>
      </w:r>
      <w:r w:rsidR="00187157" w:rsidRPr="00B852EF">
        <w:t>CEB</w:t>
      </w:r>
      <w:r w:rsidR="00A44503" w:rsidRPr="00B852EF">
        <w:t xml:space="preserve"> i IIC</w:t>
      </w:r>
      <w:r w:rsidR="00187157" w:rsidRPr="00B852EF">
        <w:t>.</w:t>
      </w:r>
    </w:p>
    <w:p w14:paraId="5581F7A6" w14:textId="77777777" w:rsidR="00187157" w:rsidRPr="0078690B" w:rsidRDefault="00187157" w:rsidP="00187157">
      <w:pPr>
        <w:jc w:val="both"/>
        <w:rPr>
          <w:highlight w:val="red"/>
        </w:rPr>
      </w:pPr>
    </w:p>
    <w:p w14:paraId="5AFFB3A8" w14:textId="1F1BC001" w:rsidR="004E1036" w:rsidRPr="00B852EF" w:rsidRDefault="00A654F7" w:rsidP="00187157">
      <w:pPr>
        <w:jc w:val="both"/>
        <w:rPr>
          <w:b/>
          <w:sz w:val="20"/>
          <w:szCs w:val="20"/>
        </w:rPr>
      </w:pPr>
      <w:r>
        <w:rPr>
          <w:b/>
          <w:sz w:val="20"/>
          <w:szCs w:val="20"/>
        </w:rPr>
        <w:lastRenderedPageBreak/>
        <w:tab/>
        <w:t>Tablica 3</w:t>
      </w:r>
      <w:r w:rsidR="00187157" w:rsidRPr="00B852EF">
        <w:rPr>
          <w:b/>
          <w:sz w:val="20"/>
          <w:szCs w:val="20"/>
        </w:rPr>
        <w:t xml:space="preserve">. </w:t>
      </w:r>
    </w:p>
    <w:tbl>
      <w:tblPr>
        <w:tblW w:w="8600" w:type="dxa"/>
        <w:jc w:val="center"/>
        <w:tblLook w:val="04A0" w:firstRow="1" w:lastRow="0" w:firstColumn="1" w:lastColumn="0" w:noHBand="0" w:noVBand="1"/>
      </w:tblPr>
      <w:tblGrid>
        <w:gridCol w:w="840"/>
        <w:gridCol w:w="2500"/>
        <w:gridCol w:w="2320"/>
        <w:gridCol w:w="1466"/>
        <w:gridCol w:w="1616"/>
      </w:tblGrid>
      <w:tr w:rsidR="004E1036" w:rsidRPr="007F2D4C" w14:paraId="257E7C3E" w14:textId="77777777" w:rsidTr="007F2D4C">
        <w:trPr>
          <w:trHeight w:val="63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6062" w14:textId="77777777" w:rsidR="004E1036" w:rsidRPr="007F2D4C" w:rsidRDefault="004E1036">
            <w:pPr>
              <w:jc w:val="center"/>
              <w:rPr>
                <w:b/>
                <w:bCs/>
                <w:sz w:val="20"/>
                <w:szCs w:val="20"/>
              </w:rPr>
            </w:pPr>
            <w:r w:rsidRPr="007F2D4C">
              <w:rPr>
                <w:b/>
                <w:bCs/>
                <w:sz w:val="20"/>
                <w:szCs w:val="20"/>
              </w:rPr>
              <w:t>Red. broj</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14:paraId="3BF4518A" w14:textId="77777777" w:rsidR="004E1036" w:rsidRPr="007F2D4C" w:rsidRDefault="004E1036">
            <w:pPr>
              <w:jc w:val="center"/>
              <w:rPr>
                <w:b/>
                <w:bCs/>
                <w:sz w:val="20"/>
                <w:szCs w:val="20"/>
              </w:rPr>
            </w:pPr>
            <w:r w:rsidRPr="007F2D4C">
              <w:rPr>
                <w:b/>
                <w:bCs/>
                <w:sz w:val="20"/>
                <w:szCs w:val="20"/>
              </w:rPr>
              <w:t>Naziv</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26E8EEFB" w14:textId="77777777" w:rsidR="004E1036" w:rsidRPr="007F2D4C" w:rsidRDefault="004E1036">
            <w:pPr>
              <w:jc w:val="center"/>
              <w:rPr>
                <w:b/>
                <w:bCs/>
                <w:sz w:val="20"/>
                <w:szCs w:val="20"/>
              </w:rPr>
            </w:pPr>
            <w:r w:rsidRPr="007F2D4C">
              <w:rPr>
                <w:b/>
                <w:bCs/>
                <w:sz w:val="20"/>
                <w:szCs w:val="20"/>
              </w:rPr>
              <w:t>Valuta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24D079" w14:textId="77777777" w:rsidR="004E1036" w:rsidRPr="007F2D4C" w:rsidRDefault="004E1036">
            <w:pPr>
              <w:jc w:val="center"/>
              <w:rPr>
                <w:b/>
                <w:bCs/>
                <w:sz w:val="20"/>
                <w:szCs w:val="20"/>
              </w:rPr>
            </w:pPr>
            <w:r w:rsidRPr="007F2D4C">
              <w:rPr>
                <w:b/>
                <w:bCs/>
                <w:sz w:val="20"/>
                <w:szCs w:val="20"/>
              </w:rPr>
              <w:t>Stanje na dan 31.12.2021.  (</w:t>
            </w:r>
            <w:proofErr w:type="spellStart"/>
            <w:r w:rsidRPr="007F2D4C">
              <w:rPr>
                <w:b/>
                <w:bCs/>
                <w:sz w:val="20"/>
                <w:szCs w:val="20"/>
              </w:rPr>
              <w:t>org.val</w:t>
            </w:r>
            <w:proofErr w:type="spellEnd"/>
            <w:r w:rsidRPr="007F2D4C">
              <w:rPr>
                <w:b/>
                <w:bCs/>
                <w:sz w:val="20"/>
                <w:szCs w:val="20"/>
              </w:rPr>
              <w: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C5EA221" w14:textId="77777777" w:rsidR="004E1036" w:rsidRPr="007F2D4C" w:rsidRDefault="004E1036">
            <w:pPr>
              <w:jc w:val="center"/>
              <w:rPr>
                <w:b/>
                <w:bCs/>
                <w:sz w:val="20"/>
                <w:szCs w:val="20"/>
              </w:rPr>
            </w:pPr>
            <w:r w:rsidRPr="007F2D4C">
              <w:rPr>
                <w:b/>
                <w:bCs/>
                <w:sz w:val="20"/>
                <w:szCs w:val="20"/>
              </w:rPr>
              <w:t>Stanje na 31.12.2021. u kunama</w:t>
            </w:r>
          </w:p>
        </w:tc>
      </w:tr>
      <w:tr w:rsidR="004E1036" w:rsidRPr="007F2D4C" w14:paraId="1C4ED261"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712F78" w14:textId="77777777" w:rsidR="004E1036" w:rsidRPr="007F2D4C" w:rsidRDefault="004E1036">
            <w:pPr>
              <w:jc w:val="center"/>
              <w:rPr>
                <w:sz w:val="20"/>
                <w:szCs w:val="20"/>
              </w:rPr>
            </w:pPr>
            <w:r w:rsidRPr="007F2D4C">
              <w:rPr>
                <w:sz w:val="20"/>
                <w:szCs w:val="20"/>
              </w:rPr>
              <w:t>1</w:t>
            </w:r>
          </w:p>
        </w:tc>
        <w:tc>
          <w:tcPr>
            <w:tcW w:w="2500" w:type="dxa"/>
            <w:tcBorders>
              <w:top w:val="nil"/>
              <w:left w:val="nil"/>
              <w:bottom w:val="single" w:sz="4" w:space="0" w:color="auto"/>
              <w:right w:val="single" w:sz="4" w:space="0" w:color="auto"/>
            </w:tcBorders>
            <w:shd w:val="clear" w:color="auto" w:fill="auto"/>
            <w:noWrap/>
            <w:vAlign w:val="center"/>
            <w:hideMark/>
          </w:tcPr>
          <w:p w14:paraId="1136B303" w14:textId="77777777" w:rsidR="004E1036" w:rsidRPr="007F2D4C" w:rsidRDefault="004E1036">
            <w:pPr>
              <w:rPr>
                <w:sz w:val="20"/>
                <w:szCs w:val="20"/>
              </w:rPr>
            </w:pPr>
            <w:r w:rsidRPr="007F2D4C">
              <w:rPr>
                <w:sz w:val="20"/>
                <w:szCs w:val="20"/>
              </w:rPr>
              <w:t>IBRD*</w:t>
            </w:r>
          </w:p>
        </w:tc>
        <w:tc>
          <w:tcPr>
            <w:tcW w:w="2320" w:type="dxa"/>
            <w:tcBorders>
              <w:top w:val="nil"/>
              <w:left w:val="nil"/>
              <w:bottom w:val="single" w:sz="4" w:space="0" w:color="auto"/>
              <w:right w:val="single" w:sz="4" w:space="0" w:color="auto"/>
            </w:tcBorders>
            <w:shd w:val="clear" w:color="auto" w:fill="auto"/>
            <w:vAlign w:val="center"/>
            <w:hideMark/>
          </w:tcPr>
          <w:p w14:paraId="7A7E3834" w14:textId="77777777" w:rsidR="004E1036" w:rsidRPr="007F2D4C" w:rsidRDefault="004E1036">
            <w:pPr>
              <w:jc w:val="center"/>
              <w:rPr>
                <w:sz w:val="20"/>
                <w:szCs w:val="20"/>
              </w:rPr>
            </w:pPr>
            <w:r w:rsidRPr="007F2D4C">
              <w:rPr>
                <w:sz w:val="20"/>
                <w:szCs w:val="20"/>
              </w:rPr>
              <w:t>USD</w:t>
            </w:r>
          </w:p>
        </w:tc>
        <w:tc>
          <w:tcPr>
            <w:tcW w:w="1340" w:type="dxa"/>
            <w:tcBorders>
              <w:top w:val="nil"/>
              <w:left w:val="nil"/>
              <w:bottom w:val="single" w:sz="4" w:space="0" w:color="auto"/>
              <w:right w:val="single" w:sz="4" w:space="0" w:color="auto"/>
            </w:tcBorders>
            <w:shd w:val="clear" w:color="auto" w:fill="auto"/>
            <w:vAlign w:val="center"/>
            <w:hideMark/>
          </w:tcPr>
          <w:p w14:paraId="573F1E7C" w14:textId="77777777" w:rsidR="004E1036" w:rsidRPr="007F2D4C" w:rsidRDefault="004E1036">
            <w:pPr>
              <w:jc w:val="right"/>
              <w:rPr>
                <w:sz w:val="20"/>
                <w:szCs w:val="20"/>
              </w:rPr>
            </w:pPr>
            <w:r w:rsidRPr="007F2D4C">
              <w:rPr>
                <w:sz w:val="20"/>
                <w:szCs w:val="20"/>
              </w:rPr>
              <w:t>26.598.811,15</w:t>
            </w:r>
          </w:p>
        </w:tc>
        <w:tc>
          <w:tcPr>
            <w:tcW w:w="1600" w:type="dxa"/>
            <w:tcBorders>
              <w:top w:val="nil"/>
              <w:left w:val="nil"/>
              <w:bottom w:val="single" w:sz="4" w:space="0" w:color="auto"/>
              <w:right w:val="single" w:sz="4" w:space="0" w:color="auto"/>
            </w:tcBorders>
            <w:shd w:val="clear" w:color="auto" w:fill="auto"/>
            <w:vAlign w:val="center"/>
            <w:hideMark/>
          </w:tcPr>
          <w:p w14:paraId="2B815962" w14:textId="77777777" w:rsidR="004E1036" w:rsidRPr="007F2D4C" w:rsidRDefault="004E1036">
            <w:pPr>
              <w:jc w:val="right"/>
              <w:rPr>
                <w:sz w:val="20"/>
                <w:szCs w:val="20"/>
              </w:rPr>
            </w:pPr>
            <w:r w:rsidRPr="007F2D4C">
              <w:rPr>
                <w:sz w:val="20"/>
                <w:szCs w:val="20"/>
              </w:rPr>
              <w:t>176.710.531,82</w:t>
            </w:r>
          </w:p>
        </w:tc>
      </w:tr>
      <w:tr w:rsidR="004E1036" w:rsidRPr="007F2D4C" w14:paraId="38EAB87D"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6E99B8C" w14:textId="77777777" w:rsidR="004E1036" w:rsidRPr="007F2D4C" w:rsidRDefault="004E1036">
            <w:pPr>
              <w:jc w:val="center"/>
              <w:rPr>
                <w:sz w:val="20"/>
                <w:szCs w:val="20"/>
              </w:rPr>
            </w:pPr>
            <w:r w:rsidRPr="007F2D4C">
              <w:rPr>
                <w:sz w:val="20"/>
                <w:szCs w:val="20"/>
              </w:rPr>
              <w:t>2</w:t>
            </w:r>
          </w:p>
        </w:tc>
        <w:tc>
          <w:tcPr>
            <w:tcW w:w="2500" w:type="dxa"/>
            <w:tcBorders>
              <w:top w:val="nil"/>
              <w:left w:val="nil"/>
              <w:bottom w:val="single" w:sz="4" w:space="0" w:color="auto"/>
              <w:right w:val="single" w:sz="4" w:space="0" w:color="auto"/>
            </w:tcBorders>
            <w:shd w:val="clear" w:color="auto" w:fill="auto"/>
            <w:noWrap/>
            <w:vAlign w:val="center"/>
            <w:hideMark/>
          </w:tcPr>
          <w:p w14:paraId="1B010834" w14:textId="77777777" w:rsidR="004E1036" w:rsidRPr="007F2D4C" w:rsidRDefault="004E1036">
            <w:pPr>
              <w:rPr>
                <w:sz w:val="20"/>
                <w:szCs w:val="20"/>
              </w:rPr>
            </w:pPr>
            <w:r w:rsidRPr="007F2D4C">
              <w:rPr>
                <w:sz w:val="20"/>
                <w:szCs w:val="20"/>
              </w:rPr>
              <w:t>IDA**</w:t>
            </w:r>
          </w:p>
        </w:tc>
        <w:tc>
          <w:tcPr>
            <w:tcW w:w="2320" w:type="dxa"/>
            <w:tcBorders>
              <w:top w:val="nil"/>
              <w:left w:val="nil"/>
              <w:bottom w:val="single" w:sz="4" w:space="0" w:color="auto"/>
              <w:right w:val="single" w:sz="4" w:space="0" w:color="auto"/>
            </w:tcBorders>
            <w:shd w:val="clear" w:color="auto" w:fill="auto"/>
            <w:vAlign w:val="center"/>
            <w:hideMark/>
          </w:tcPr>
          <w:p w14:paraId="11A46B2A" w14:textId="77777777" w:rsidR="004E1036" w:rsidRPr="007F2D4C" w:rsidRDefault="004E1036">
            <w:pPr>
              <w:jc w:val="center"/>
              <w:rPr>
                <w:sz w:val="20"/>
                <w:szCs w:val="20"/>
              </w:rPr>
            </w:pPr>
            <w:r w:rsidRPr="007F2D4C">
              <w:rPr>
                <w:sz w:val="20"/>
                <w:szCs w:val="20"/>
              </w:rPr>
              <w:t>USD</w:t>
            </w:r>
          </w:p>
        </w:tc>
        <w:tc>
          <w:tcPr>
            <w:tcW w:w="1340" w:type="dxa"/>
            <w:tcBorders>
              <w:top w:val="nil"/>
              <w:left w:val="nil"/>
              <w:bottom w:val="single" w:sz="4" w:space="0" w:color="auto"/>
              <w:right w:val="single" w:sz="4" w:space="0" w:color="auto"/>
            </w:tcBorders>
            <w:shd w:val="clear" w:color="auto" w:fill="auto"/>
            <w:vAlign w:val="center"/>
            <w:hideMark/>
          </w:tcPr>
          <w:p w14:paraId="6BAFED8B" w14:textId="77777777" w:rsidR="004E1036" w:rsidRPr="007F2D4C" w:rsidRDefault="004E1036">
            <w:pPr>
              <w:jc w:val="right"/>
              <w:rPr>
                <w:sz w:val="20"/>
                <w:szCs w:val="20"/>
              </w:rPr>
            </w:pPr>
            <w:r w:rsidRPr="007F2D4C">
              <w:rPr>
                <w:sz w:val="20"/>
                <w:szCs w:val="20"/>
              </w:rPr>
              <w:t>5.931.732,00</w:t>
            </w:r>
          </w:p>
        </w:tc>
        <w:tc>
          <w:tcPr>
            <w:tcW w:w="1600" w:type="dxa"/>
            <w:tcBorders>
              <w:top w:val="nil"/>
              <w:left w:val="nil"/>
              <w:bottom w:val="single" w:sz="4" w:space="0" w:color="auto"/>
              <w:right w:val="single" w:sz="4" w:space="0" w:color="auto"/>
            </w:tcBorders>
            <w:shd w:val="clear" w:color="auto" w:fill="auto"/>
            <w:vAlign w:val="center"/>
            <w:hideMark/>
          </w:tcPr>
          <w:p w14:paraId="5738CBAE" w14:textId="77777777" w:rsidR="004E1036" w:rsidRPr="007F2D4C" w:rsidRDefault="004E1036">
            <w:pPr>
              <w:jc w:val="right"/>
              <w:rPr>
                <w:sz w:val="20"/>
                <w:szCs w:val="20"/>
              </w:rPr>
            </w:pPr>
            <w:r w:rsidRPr="007F2D4C">
              <w:rPr>
                <w:sz w:val="20"/>
                <w:szCs w:val="20"/>
              </w:rPr>
              <w:t>39.407.758,13</w:t>
            </w:r>
          </w:p>
        </w:tc>
      </w:tr>
      <w:tr w:rsidR="004E1036" w:rsidRPr="007F2D4C" w14:paraId="74BDFF27"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B46AEE" w14:textId="77777777" w:rsidR="004E1036" w:rsidRPr="007F2D4C" w:rsidRDefault="004E1036">
            <w:pPr>
              <w:jc w:val="center"/>
              <w:rPr>
                <w:sz w:val="20"/>
                <w:szCs w:val="20"/>
              </w:rPr>
            </w:pPr>
            <w:r w:rsidRPr="007F2D4C">
              <w:rPr>
                <w:sz w:val="20"/>
                <w:szCs w:val="20"/>
              </w:rPr>
              <w:t>3</w:t>
            </w:r>
          </w:p>
        </w:tc>
        <w:tc>
          <w:tcPr>
            <w:tcW w:w="2500" w:type="dxa"/>
            <w:tcBorders>
              <w:top w:val="nil"/>
              <w:left w:val="nil"/>
              <w:bottom w:val="single" w:sz="4" w:space="0" w:color="auto"/>
              <w:right w:val="single" w:sz="4" w:space="0" w:color="auto"/>
            </w:tcBorders>
            <w:shd w:val="clear" w:color="auto" w:fill="auto"/>
            <w:noWrap/>
            <w:vAlign w:val="center"/>
            <w:hideMark/>
          </w:tcPr>
          <w:p w14:paraId="6776E5EE" w14:textId="77777777" w:rsidR="004E1036" w:rsidRPr="007F2D4C" w:rsidRDefault="004E1036">
            <w:pPr>
              <w:rPr>
                <w:sz w:val="20"/>
                <w:szCs w:val="20"/>
              </w:rPr>
            </w:pPr>
            <w:r w:rsidRPr="007F2D4C">
              <w:rPr>
                <w:sz w:val="20"/>
                <w:szCs w:val="20"/>
              </w:rPr>
              <w:t>IFC</w:t>
            </w:r>
          </w:p>
        </w:tc>
        <w:tc>
          <w:tcPr>
            <w:tcW w:w="2320" w:type="dxa"/>
            <w:tcBorders>
              <w:top w:val="nil"/>
              <w:left w:val="nil"/>
              <w:bottom w:val="single" w:sz="4" w:space="0" w:color="auto"/>
              <w:right w:val="single" w:sz="4" w:space="0" w:color="auto"/>
            </w:tcBorders>
            <w:shd w:val="clear" w:color="auto" w:fill="auto"/>
            <w:noWrap/>
            <w:vAlign w:val="center"/>
            <w:hideMark/>
          </w:tcPr>
          <w:p w14:paraId="575FC183" w14:textId="77777777" w:rsidR="004E1036" w:rsidRPr="007F2D4C" w:rsidRDefault="004E1036">
            <w:pPr>
              <w:jc w:val="center"/>
              <w:rPr>
                <w:sz w:val="20"/>
                <w:szCs w:val="20"/>
              </w:rPr>
            </w:pPr>
            <w:r w:rsidRPr="007F2D4C">
              <w:rPr>
                <w:sz w:val="20"/>
                <w:szCs w:val="20"/>
              </w:rPr>
              <w:t>USD</w:t>
            </w:r>
          </w:p>
        </w:tc>
        <w:tc>
          <w:tcPr>
            <w:tcW w:w="1340" w:type="dxa"/>
            <w:tcBorders>
              <w:top w:val="nil"/>
              <w:left w:val="nil"/>
              <w:bottom w:val="single" w:sz="4" w:space="0" w:color="auto"/>
              <w:right w:val="single" w:sz="4" w:space="0" w:color="auto"/>
            </w:tcBorders>
            <w:shd w:val="clear" w:color="auto" w:fill="auto"/>
            <w:noWrap/>
            <w:vAlign w:val="center"/>
            <w:hideMark/>
          </w:tcPr>
          <w:p w14:paraId="0F8FA791" w14:textId="77777777" w:rsidR="004E1036" w:rsidRPr="007F2D4C" w:rsidRDefault="004E1036">
            <w:pPr>
              <w:jc w:val="right"/>
              <w:rPr>
                <w:sz w:val="20"/>
                <w:szCs w:val="20"/>
              </w:rPr>
            </w:pPr>
            <w:r w:rsidRPr="007F2D4C">
              <w:rPr>
                <w:sz w:val="20"/>
                <w:szCs w:val="20"/>
              </w:rPr>
              <w:t>24.794.000,00</w:t>
            </w:r>
          </w:p>
        </w:tc>
        <w:tc>
          <w:tcPr>
            <w:tcW w:w="1600" w:type="dxa"/>
            <w:tcBorders>
              <w:top w:val="nil"/>
              <w:left w:val="nil"/>
              <w:bottom w:val="single" w:sz="4" w:space="0" w:color="auto"/>
              <w:right w:val="single" w:sz="4" w:space="0" w:color="auto"/>
            </w:tcBorders>
            <w:shd w:val="clear" w:color="auto" w:fill="auto"/>
            <w:vAlign w:val="center"/>
            <w:hideMark/>
          </w:tcPr>
          <w:p w14:paraId="151C2B83" w14:textId="77777777" w:rsidR="004E1036" w:rsidRPr="007F2D4C" w:rsidRDefault="004E1036">
            <w:pPr>
              <w:jc w:val="right"/>
              <w:rPr>
                <w:sz w:val="20"/>
                <w:szCs w:val="20"/>
              </w:rPr>
            </w:pPr>
            <w:r w:rsidRPr="007F2D4C">
              <w:rPr>
                <w:sz w:val="20"/>
                <w:szCs w:val="20"/>
              </w:rPr>
              <w:t>164.720.178,70</w:t>
            </w:r>
          </w:p>
        </w:tc>
      </w:tr>
      <w:tr w:rsidR="004E1036" w:rsidRPr="007F2D4C" w14:paraId="76C37380"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F26EB5" w14:textId="77777777" w:rsidR="004E1036" w:rsidRPr="007F2D4C" w:rsidRDefault="004E1036">
            <w:pPr>
              <w:jc w:val="center"/>
              <w:rPr>
                <w:sz w:val="20"/>
                <w:szCs w:val="20"/>
              </w:rPr>
            </w:pPr>
            <w:r w:rsidRPr="007F2D4C">
              <w:rPr>
                <w:sz w:val="20"/>
                <w:szCs w:val="20"/>
              </w:rPr>
              <w:t>4</w:t>
            </w:r>
          </w:p>
        </w:tc>
        <w:tc>
          <w:tcPr>
            <w:tcW w:w="2500" w:type="dxa"/>
            <w:tcBorders>
              <w:top w:val="nil"/>
              <w:left w:val="nil"/>
              <w:bottom w:val="single" w:sz="4" w:space="0" w:color="auto"/>
              <w:right w:val="single" w:sz="4" w:space="0" w:color="auto"/>
            </w:tcBorders>
            <w:shd w:val="clear" w:color="auto" w:fill="auto"/>
            <w:noWrap/>
            <w:vAlign w:val="center"/>
            <w:hideMark/>
          </w:tcPr>
          <w:p w14:paraId="6A8DF330" w14:textId="77777777" w:rsidR="004E1036" w:rsidRPr="007F2D4C" w:rsidRDefault="004E1036">
            <w:pPr>
              <w:rPr>
                <w:sz w:val="20"/>
                <w:szCs w:val="20"/>
              </w:rPr>
            </w:pPr>
            <w:r w:rsidRPr="007F2D4C">
              <w:rPr>
                <w:sz w:val="20"/>
                <w:szCs w:val="20"/>
              </w:rPr>
              <w:t>MIGA</w:t>
            </w:r>
          </w:p>
        </w:tc>
        <w:tc>
          <w:tcPr>
            <w:tcW w:w="2320" w:type="dxa"/>
            <w:tcBorders>
              <w:top w:val="nil"/>
              <w:left w:val="nil"/>
              <w:bottom w:val="single" w:sz="4" w:space="0" w:color="auto"/>
              <w:right w:val="single" w:sz="4" w:space="0" w:color="auto"/>
            </w:tcBorders>
            <w:shd w:val="clear" w:color="auto" w:fill="auto"/>
            <w:noWrap/>
            <w:vAlign w:val="center"/>
            <w:hideMark/>
          </w:tcPr>
          <w:p w14:paraId="62B765AE" w14:textId="77777777" w:rsidR="004E1036" w:rsidRPr="007F2D4C" w:rsidRDefault="004E1036">
            <w:pPr>
              <w:jc w:val="center"/>
              <w:rPr>
                <w:sz w:val="20"/>
                <w:szCs w:val="20"/>
              </w:rPr>
            </w:pPr>
            <w:r w:rsidRPr="007F2D4C">
              <w:rPr>
                <w:sz w:val="20"/>
                <w:szCs w:val="20"/>
              </w:rPr>
              <w:t>USD</w:t>
            </w:r>
          </w:p>
        </w:tc>
        <w:tc>
          <w:tcPr>
            <w:tcW w:w="1340" w:type="dxa"/>
            <w:tcBorders>
              <w:top w:val="nil"/>
              <w:left w:val="nil"/>
              <w:bottom w:val="single" w:sz="4" w:space="0" w:color="auto"/>
              <w:right w:val="single" w:sz="4" w:space="0" w:color="auto"/>
            </w:tcBorders>
            <w:shd w:val="clear" w:color="auto" w:fill="auto"/>
            <w:noWrap/>
            <w:vAlign w:val="center"/>
            <w:hideMark/>
          </w:tcPr>
          <w:p w14:paraId="30C4BDF8" w14:textId="77777777" w:rsidR="004E1036" w:rsidRPr="007F2D4C" w:rsidRDefault="004E1036">
            <w:pPr>
              <w:jc w:val="right"/>
              <w:rPr>
                <w:sz w:val="20"/>
                <w:szCs w:val="20"/>
              </w:rPr>
            </w:pPr>
            <w:r w:rsidRPr="007F2D4C">
              <w:rPr>
                <w:sz w:val="20"/>
                <w:szCs w:val="20"/>
              </w:rPr>
              <w:t>677.759,00</w:t>
            </w:r>
          </w:p>
        </w:tc>
        <w:tc>
          <w:tcPr>
            <w:tcW w:w="1600" w:type="dxa"/>
            <w:tcBorders>
              <w:top w:val="nil"/>
              <w:left w:val="nil"/>
              <w:bottom w:val="single" w:sz="4" w:space="0" w:color="auto"/>
              <w:right w:val="single" w:sz="4" w:space="0" w:color="auto"/>
            </w:tcBorders>
            <w:shd w:val="clear" w:color="auto" w:fill="auto"/>
            <w:vAlign w:val="center"/>
            <w:hideMark/>
          </w:tcPr>
          <w:p w14:paraId="06B8B34E" w14:textId="77777777" w:rsidR="004E1036" w:rsidRPr="007F2D4C" w:rsidRDefault="004E1036">
            <w:pPr>
              <w:jc w:val="right"/>
              <w:rPr>
                <w:sz w:val="20"/>
                <w:szCs w:val="20"/>
              </w:rPr>
            </w:pPr>
            <w:r w:rsidRPr="007F2D4C">
              <w:rPr>
                <w:sz w:val="20"/>
                <w:szCs w:val="20"/>
              </w:rPr>
              <w:t>4.502.725,80</w:t>
            </w:r>
          </w:p>
        </w:tc>
      </w:tr>
      <w:tr w:rsidR="004E1036" w:rsidRPr="007F2D4C" w14:paraId="1C6A3737"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32F03C" w14:textId="77777777" w:rsidR="004E1036" w:rsidRPr="007F2D4C" w:rsidRDefault="004E1036">
            <w:pPr>
              <w:jc w:val="center"/>
              <w:rPr>
                <w:sz w:val="20"/>
                <w:szCs w:val="20"/>
              </w:rPr>
            </w:pPr>
            <w:r w:rsidRPr="007F2D4C">
              <w:rPr>
                <w:sz w:val="20"/>
                <w:szCs w:val="20"/>
              </w:rPr>
              <w:t>5</w:t>
            </w:r>
          </w:p>
        </w:tc>
        <w:tc>
          <w:tcPr>
            <w:tcW w:w="2500" w:type="dxa"/>
            <w:tcBorders>
              <w:top w:val="nil"/>
              <w:left w:val="nil"/>
              <w:bottom w:val="single" w:sz="4" w:space="0" w:color="auto"/>
              <w:right w:val="single" w:sz="4" w:space="0" w:color="auto"/>
            </w:tcBorders>
            <w:shd w:val="clear" w:color="auto" w:fill="auto"/>
            <w:noWrap/>
            <w:vAlign w:val="center"/>
            <w:hideMark/>
          </w:tcPr>
          <w:p w14:paraId="1436F5A8" w14:textId="77777777" w:rsidR="004E1036" w:rsidRPr="007F2D4C" w:rsidRDefault="004E1036">
            <w:pPr>
              <w:rPr>
                <w:sz w:val="20"/>
                <w:szCs w:val="20"/>
              </w:rPr>
            </w:pPr>
            <w:r w:rsidRPr="007F2D4C">
              <w:rPr>
                <w:sz w:val="20"/>
                <w:szCs w:val="20"/>
              </w:rPr>
              <w:t>EIB</w:t>
            </w:r>
          </w:p>
        </w:tc>
        <w:tc>
          <w:tcPr>
            <w:tcW w:w="2320" w:type="dxa"/>
            <w:tcBorders>
              <w:top w:val="nil"/>
              <w:left w:val="nil"/>
              <w:bottom w:val="single" w:sz="4" w:space="0" w:color="auto"/>
              <w:right w:val="single" w:sz="4" w:space="0" w:color="auto"/>
            </w:tcBorders>
            <w:shd w:val="clear" w:color="auto" w:fill="auto"/>
            <w:noWrap/>
            <w:vAlign w:val="center"/>
            <w:hideMark/>
          </w:tcPr>
          <w:p w14:paraId="1B7AE8ED" w14:textId="77777777" w:rsidR="004E1036" w:rsidRPr="007F2D4C" w:rsidRDefault="004E1036">
            <w:pPr>
              <w:jc w:val="center"/>
              <w:rPr>
                <w:sz w:val="20"/>
                <w:szCs w:val="20"/>
              </w:rPr>
            </w:pPr>
            <w:r w:rsidRPr="007F2D4C">
              <w:rPr>
                <w:sz w:val="20"/>
                <w:szCs w:val="20"/>
              </w:rPr>
              <w:t>EUR</w:t>
            </w:r>
          </w:p>
        </w:tc>
        <w:tc>
          <w:tcPr>
            <w:tcW w:w="1340" w:type="dxa"/>
            <w:tcBorders>
              <w:top w:val="nil"/>
              <w:left w:val="nil"/>
              <w:bottom w:val="single" w:sz="4" w:space="0" w:color="auto"/>
              <w:right w:val="single" w:sz="4" w:space="0" w:color="auto"/>
            </w:tcBorders>
            <w:shd w:val="clear" w:color="auto" w:fill="auto"/>
            <w:noWrap/>
            <w:vAlign w:val="center"/>
            <w:hideMark/>
          </w:tcPr>
          <w:p w14:paraId="55469D18" w14:textId="77777777" w:rsidR="004E1036" w:rsidRPr="007F2D4C" w:rsidRDefault="004E1036">
            <w:pPr>
              <w:jc w:val="right"/>
              <w:rPr>
                <w:sz w:val="20"/>
                <w:szCs w:val="20"/>
              </w:rPr>
            </w:pPr>
            <w:r w:rsidRPr="007F2D4C">
              <w:rPr>
                <w:sz w:val="20"/>
                <w:szCs w:val="20"/>
              </w:rPr>
              <w:t>79.485.500,00</w:t>
            </w:r>
          </w:p>
        </w:tc>
        <w:tc>
          <w:tcPr>
            <w:tcW w:w="1600" w:type="dxa"/>
            <w:tcBorders>
              <w:top w:val="nil"/>
              <w:left w:val="nil"/>
              <w:bottom w:val="single" w:sz="4" w:space="0" w:color="auto"/>
              <w:right w:val="single" w:sz="4" w:space="0" w:color="auto"/>
            </w:tcBorders>
            <w:shd w:val="clear" w:color="auto" w:fill="auto"/>
            <w:vAlign w:val="center"/>
            <w:hideMark/>
          </w:tcPr>
          <w:p w14:paraId="1105891F" w14:textId="77777777" w:rsidR="004E1036" w:rsidRPr="007F2D4C" w:rsidRDefault="004E1036">
            <w:pPr>
              <w:jc w:val="right"/>
              <w:rPr>
                <w:sz w:val="20"/>
                <w:szCs w:val="20"/>
              </w:rPr>
            </w:pPr>
            <w:r w:rsidRPr="007F2D4C">
              <w:rPr>
                <w:sz w:val="20"/>
                <w:szCs w:val="20"/>
              </w:rPr>
              <w:t>597.506.016,04</w:t>
            </w:r>
          </w:p>
        </w:tc>
      </w:tr>
      <w:tr w:rsidR="004E1036" w:rsidRPr="007F2D4C" w14:paraId="3119B438"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D5015D" w14:textId="77777777" w:rsidR="004E1036" w:rsidRPr="007F2D4C" w:rsidRDefault="004E1036">
            <w:pPr>
              <w:jc w:val="center"/>
              <w:rPr>
                <w:sz w:val="20"/>
                <w:szCs w:val="20"/>
              </w:rPr>
            </w:pPr>
            <w:r w:rsidRPr="007F2D4C">
              <w:rPr>
                <w:sz w:val="20"/>
                <w:szCs w:val="20"/>
              </w:rPr>
              <w:t>6</w:t>
            </w:r>
          </w:p>
        </w:tc>
        <w:tc>
          <w:tcPr>
            <w:tcW w:w="2500" w:type="dxa"/>
            <w:tcBorders>
              <w:top w:val="nil"/>
              <w:left w:val="nil"/>
              <w:bottom w:val="single" w:sz="4" w:space="0" w:color="auto"/>
              <w:right w:val="single" w:sz="4" w:space="0" w:color="auto"/>
            </w:tcBorders>
            <w:shd w:val="clear" w:color="auto" w:fill="auto"/>
            <w:noWrap/>
            <w:vAlign w:val="center"/>
            <w:hideMark/>
          </w:tcPr>
          <w:p w14:paraId="53A21218" w14:textId="77777777" w:rsidR="004E1036" w:rsidRPr="007F2D4C" w:rsidRDefault="004E1036">
            <w:pPr>
              <w:rPr>
                <w:sz w:val="20"/>
                <w:szCs w:val="20"/>
              </w:rPr>
            </w:pPr>
            <w:r w:rsidRPr="007F2D4C">
              <w:rPr>
                <w:sz w:val="20"/>
                <w:szCs w:val="20"/>
              </w:rPr>
              <w:t>EBRD</w:t>
            </w:r>
          </w:p>
        </w:tc>
        <w:tc>
          <w:tcPr>
            <w:tcW w:w="2320" w:type="dxa"/>
            <w:tcBorders>
              <w:top w:val="nil"/>
              <w:left w:val="nil"/>
              <w:bottom w:val="single" w:sz="4" w:space="0" w:color="auto"/>
              <w:right w:val="single" w:sz="4" w:space="0" w:color="auto"/>
            </w:tcBorders>
            <w:shd w:val="clear" w:color="auto" w:fill="auto"/>
            <w:noWrap/>
            <w:vAlign w:val="center"/>
            <w:hideMark/>
          </w:tcPr>
          <w:p w14:paraId="0B9CFD3C" w14:textId="77777777" w:rsidR="004E1036" w:rsidRPr="007F2D4C" w:rsidRDefault="004E1036">
            <w:pPr>
              <w:jc w:val="center"/>
              <w:rPr>
                <w:sz w:val="20"/>
                <w:szCs w:val="20"/>
              </w:rPr>
            </w:pPr>
            <w:r w:rsidRPr="007F2D4C">
              <w:rPr>
                <w:sz w:val="20"/>
                <w:szCs w:val="20"/>
              </w:rPr>
              <w:t>EUR</w:t>
            </w:r>
          </w:p>
        </w:tc>
        <w:tc>
          <w:tcPr>
            <w:tcW w:w="1340" w:type="dxa"/>
            <w:tcBorders>
              <w:top w:val="nil"/>
              <w:left w:val="nil"/>
              <w:bottom w:val="single" w:sz="4" w:space="0" w:color="auto"/>
              <w:right w:val="single" w:sz="4" w:space="0" w:color="auto"/>
            </w:tcBorders>
            <w:shd w:val="clear" w:color="auto" w:fill="auto"/>
            <w:noWrap/>
            <w:vAlign w:val="center"/>
            <w:hideMark/>
          </w:tcPr>
          <w:p w14:paraId="20ABAA76" w14:textId="77777777" w:rsidR="004E1036" w:rsidRPr="007F2D4C" w:rsidRDefault="004E1036">
            <w:pPr>
              <w:jc w:val="right"/>
              <w:rPr>
                <w:sz w:val="20"/>
                <w:szCs w:val="20"/>
              </w:rPr>
            </w:pPr>
            <w:r w:rsidRPr="007F2D4C">
              <w:rPr>
                <w:sz w:val="20"/>
                <w:szCs w:val="20"/>
              </w:rPr>
              <w:t>22.820.000,00</w:t>
            </w:r>
          </w:p>
        </w:tc>
        <w:tc>
          <w:tcPr>
            <w:tcW w:w="1600" w:type="dxa"/>
            <w:tcBorders>
              <w:top w:val="nil"/>
              <w:left w:val="nil"/>
              <w:bottom w:val="single" w:sz="4" w:space="0" w:color="auto"/>
              <w:right w:val="single" w:sz="4" w:space="0" w:color="auto"/>
            </w:tcBorders>
            <w:shd w:val="clear" w:color="auto" w:fill="auto"/>
            <w:noWrap/>
            <w:vAlign w:val="center"/>
            <w:hideMark/>
          </w:tcPr>
          <w:p w14:paraId="74B7252A" w14:textId="77777777" w:rsidR="004E1036" w:rsidRPr="007F2D4C" w:rsidRDefault="004E1036">
            <w:pPr>
              <w:jc w:val="right"/>
              <w:rPr>
                <w:sz w:val="20"/>
                <w:szCs w:val="20"/>
              </w:rPr>
            </w:pPr>
            <w:r w:rsidRPr="007F2D4C">
              <w:rPr>
                <w:sz w:val="20"/>
                <w:szCs w:val="20"/>
              </w:rPr>
              <w:t>171.541.819,40</w:t>
            </w:r>
          </w:p>
        </w:tc>
      </w:tr>
      <w:tr w:rsidR="004E1036" w:rsidRPr="007F2D4C" w14:paraId="25866B94"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239AD7" w14:textId="77777777" w:rsidR="004E1036" w:rsidRPr="007F2D4C" w:rsidRDefault="004E1036">
            <w:pPr>
              <w:jc w:val="center"/>
              <w:rPr>
                <w:sz w:val="20"/>
                <w:szCs w:val="20"/>
              </w:rPr>
            </w:pPr>
            <w:r w:rsidRPr="007F2D4C">
              <w:rPr>
                <w:sz w:val="20"/>
                <w:szCs w:val="20"/>
              </w:rPr>
              <w:t>7</w:t>
            </w:r>
          </w:p>
        </w:tc>
        <w:tc>
          <w:tcPr>
            <w:tcW w:w="2500" w:type="dxa"/>
            <w:tcBorders>
              <w:top w:val="nil"/>
              <w:left w:val="nil"/>
              <w:bottom w:val="single" w:sz="4" w:space="0" w:color="auto"/>
              <w:right w:val="single" w:sz="4" w:space="0" w:color="auto"/>
            </w:tcBorders>
            <w:shd w:val="clear" w:color="auto" w:fill="auto"/>
            <w:noWrap/>
            <w:vAlign w:val="center"/>
            <w:hideMark/>
          </w:tcPr>
          <w:p w14:paraId="6AF8036B" w14:textId="77777777" w:rsidR="004E1036" w:rsidRPr="007F2D4C" w:rsidRDefault="004E1036">
            <w:pPr>
              <w:rPr>
                <w:sz w:val="20"/>
                <w:szCs w:val="20"/>
              </w:rPr>
            </w:pPr>
            <w:r w:rsidRPr="007F2D4C">
              <w:rPr>
                <w:sz w:val="20"/>
                <w:szCs w:val="20"/>
              </w:rPr>
              <w:t>CEB</w:t>
            </w:r>
          </w:p>
        </w:tc>
        <w:tc>
          <w:tcPr>
            <w:tcW w:w="2320" w:type="dxa"/>
            <w:tcBorders>
              <w:top w:val="nil"/>
              <w:left w:val="nil"/>
              <w:bottom w:val="single" w:sz="4" w:space="0" w:color="auto"/>
              <w:right w:val="single" w:sz="4" w:space="0" w:color="auto"/>
            </w:tcBorders>
            <w:shd w:val="clear" w:color="auto" w:fill="auto"/>
            <w:noWrap/>
            <w:vAlign w:val="center"/>
            <w:hideMark/>
          </w:tcPr>
          <w:p w14:paraId="47A80D7E" w14:textId="77777777" w:rsidR="004E1036" w:rsidRPr="007F2D4C" w:rsidRDefault="004E1036">
            <w:pPr>
              <w:jc w:val="center"/>
              <w:rPr>
                <w:sz w:val="20"/>
                <w:szCs w:val="20"/>
              </w:rPr>
            </w:pPr>
            <w:r w:rsidRPr="007F2D4C">
              <w:rPr>
                <w:sz w:val="20"/>
                <w:szCs w:val="20"/>
              </w:rPr>
              <w:t>EUR</w:t>
            </w:r>
          </w:p>
        </w:tc>
        <w:tc>
          <w:tcPr>
            <w:tcW w:w="1340" w:type="dxa"/>
            <w:tcBorders>
              <w:top w:val="nil"/>
              <w:left w:val="nil"/>
              <w:bottom w:val="single" w:sz="4" w:space="0" w:color="auto"/>
              <w:right w:val="single" w:sz="4" w:space="0" w:color="auto"/>
            </w:tcBorders>
            <w:shd w:val="clear" w:color="auto" w:fill="auto"/>
            <w:noWrap/>
            <w:vAlign w:val="center"/>
            <w:hideMark/>
          </w:tcPr>
          <w:p w14:paraId="151A6ABA" w14:textId="77777777" w:rsidR="004E1036" w:rsidRPr="007F2D4C" w:rsidRDefault="004E1036">
            <w:pPr>
              <w:jc w:val="right"/>
              <w:rPr>
                <w:sz w:val="20"/>
                <w:szCs w:val="20"/>
              </w:rPr>
            </w:pPr>
            <w:r w:rsidRPr="007F2D4C">
              <w:rPr>
                <w:sz w:val="20"/>
                <w:szCs w:val="20"/>
              </w:rPr>
              <w:t>2.372.578,00</w:t>
            </w:r>
          </w:p>
        </w:tc>
        <w:tc>
          <w:tcPr>
            <w:tcW w:w="1600" w:type="dxa"/>
            <w:tcBorders>
              <w:top w:val="nil"/>
              <w:left w:val="nil"/>
              <w:bottom w:val="single" w:sz="4" w:space="0" w:color="auto"/>
              <w:right w:val="single" w:sz="4" w:space="0" w:color="auto"/>
            </w:tcBorders>
            <w:shd w:val="clear" w:color="auto" w:fill="auto"/>
            <w:noWrap/>
            <w:vAlign w:val="center"/>
            <w:hideMark/>
          </w:tcPr>
          <w:p w14:paraId="317D0DC7" w14:textId="77777777" w:rsidR="004E1036" w:rsidRPr="007F2D4C" w:rsidRDefault="004E1036">
            <w:pPr>
              <w:jc w:val="right"/>
              <w:rPr>
                <w:sz w:val="20"/>
                <w:szCs w:val="20"/>
              </w:rPr>
            </w:pPr>
            <w:r w:rsidRPr="007F2D4C">
              <w:rPr>
                <w:sz w:val="20"/>
                <w:szCs w:val="20"/>
              </w:rPr>
              <w:t>17.835.072,16</w:t>
            </w:r>
          </w:p>
        </w:tc>
      </w:tr>
      <w:tr w:rsidR="004E1036" w:rsidRPr="007F2D4C" w14:paraId="03C115DA"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0D9CFE7" w14:textId="77777777" w:rsidR="004E1036" w:rsidRPr="007F2D4C" w:rsidRDefault="004E1036">
            <w:pPr>
              <w:jc w:val="center"/>
              <w:rPr>
                <w:sz w:val="20"/>
                <w:szCs w:val="20"/>
              </w:rPr>
            </w:pPr>
            <w:r w:rsidRPr="007F2D4C">
              <w:rPr>
                <w:sz w:val="20"/>
                <w:szCs w:val="20"/>
              </w:rPr>
              <w:t>8</w:t>
            </w:r>
          </w:p>
        </w:tc>
        <w:tc>
          <w:tcPr>
            <w:tcW w:w="2500" w:type="dxa"/>
            <w:tcBorders>
              <w:top w:val="nil"/>
              <w:left w:val="nil"/>
              <w:bottom w:val="nil"/>
              <w:right w:val="single" w:sz="4" w:space="0" w:color="auto"/>
            </w:tcBorders>
            <w:shd w:val="clear" w:color="auto" w:fill="auto"/>
            <w:noWrap/>
            <w:vAlign w:val="center"/>
            <w:hideMark/>
          </w:tcPr>
          <w:p w14:paraId="2F09A12B" w14:textId="77777777" w:rsidR="004E1036" w:rsidRPr="007F2D4C" w:rsidRDefault="004E1036">
            <w:pPr>
              <w:rPr>
                <w:sz w:val="20"/>
                <w:szCs w:val="20"/>
              </w:rPr>
            </w:pPr>
            <w:r w:rsidRPr="007F2D4C">
              <w:rPr>
                <w:sz w:val="20"/>
                <w:szCs w:val="20"/>
              </w:rPr>
              <w:t>IDB</w:t>
            </w:r>
          </w:p>
        </w:tc>
        <w:tc>
          <w:tcPr>
            <w:tcW w:w="2320" w:type="dxa"/>
            <w:tcBorders>
              <w:top w:val="nil"/>
              <w:left w:val="nil"/>
              <w:bottom w:val="nil"/>
              <w:right w:val="single" w:sz="4" w:space="0" w:color="auto"/>
            </w:tcBorders>
            <w:shd w:val="clear" w:color="auto" w:fill="auto"/>
            <w:noWrap/>
            <w:vAlign w:val="center"/>
            <w:hideMark/>
          </w:tcPr>
          <w:p w14:paraId="1F78B6B4" w14:textId="77777777" w:rsidR="004E1036" w:rsidRPr="007F2D4C" w:rsidRDefault="004E1036">
            <w:pPr>
              <w:jc w:val="center"/>
              <w:rPr>
                <w:sz w:val="20"/>
                <w:szCs w:val="20"/>
              </w:rPr>
            </w:pPr>
            <w:r w:rsidRPr="007F2D4C">
              <w:rPr>
                <w:sz w:val="20"/>
                <w:szCs w:val="20"/>
              </w:rPr>
              <w:t>USD</w:t>
            </w:r>
          </w:p>
        </w:tc>
        <w:tc>
          <w:tcPr>
            <w:tcW w:w="1340" w:type="dxa"/>
            <w:tcBorders>
              <w:top w:val="nil"/>
              <w:left w:val="nil"/>
              <w:bottom w:val="nil"/>
              <w:right w:val="single" w:sz="4" w:space="0" w:color="auto"/>
            </w:tcBorders>
            <w:shd w:val="clear" w:color="auto" w:fill="auto"/>
            <w:noWrap/>
            <w:vAlign w:val="center"/>
            <w:hideMark/>
          </w:tcPr>
          <w:p w14:paraId="7505E730" w14:textId="77777777" w:rsidR="004E1036" w:rsidRPr="007F2D4C" w:rsidRDefault="004E1036">
            <w:pPr>
              <w:jc w:val="right"/>
              <w:rPr>
                <w:sz w:val="20"/>
                <w:szCs w:val="20"/>
              </w:rPr>
            </w:pPr>
            <w:r w:rsidRPr="007F2D4C">
              <w:rPr>
                <w:sz w:val="20"/>
                <w:szCs w:val="20"/>
              </w:rPr>
              <w:t>6.433.232,60</w:t>
            </w:r>
          </w:p>
        </w:tc>
        <w:tc>
          <w:tcPr>
            <w:tcW w:w="1600" w:type="dxa"/>
            <w:tcBorders>
              <w:top w:val="nil"/>
              <w:left w:val="nil"/>
              <w:bottom w:val="nil"/>
              <w:right w:val="single" w:sz="4" w:space="0" w:color="auto"/>
            </w:tcBorders>
            <w:shd w:val="clear" w:color="auto" w:fill="auto"/>
            <w:vAlign w:val="center"/>
            <w:hideMark/>
          </w:tcPr>
          <w:p w14:paraId="7E83076E" w14:textId="77777777" w:rsidR="004E1036" w:rsidRPr="007F2D4C" w:rsidRDefault="004E1036">
            <w:pPr>
              <w:jc w:val="right"/>
              <w:rPr>
                <w:sz w:val="20"/>
                <w:szCs w:val="20"/>
              </w:rPr>
            </w:pPr>
            <w:r w:rsidRPr="007F2D4C">
              <w:rPr>
                <w:sz w:val="20"/>
                <w:szCs w:val="20"/>
              </w:rPr>
              <w:t>42.739.502,44</w:t>
            </w:r>
          </w:p>
        </w:tc>
      </w:tr>
      <w:tr w:rsidR="004E1036" w:rsidRPr="007F2D4C" w14:paraId="149A3C88"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700EA9" w14:textId="77777777" w:rsidR="004E1036" w:rsidRPr="007F2D4C" w:rsidRDefault="004E1036">
            <w:pPr>
              <w:jc w:val="center"/>
              <w:rPr>
                <w:sz w:val="20"/>
                <w:szCs w:val="20"/>
              </w:rPr>
            </w:pPr>
            <w:r w:rsidRPr="007F2D4C">
              <w:rPr>
                <w:sz w:val="20"/>
                <w:szCs w:val="20"/>
              </w:rPr>
              <w:t>9</w:t>
            </w:r>
          </w:p>
        </w:tc>
        <w:tc>
          <w:tcPr>
            <w:tcW w:w="2500" w:type="dxa"/>
            <w:tcBorders>
              <w:top w:val="single" w:sz="4" w:space="0" w:color="auto"/>
              <w:left w:val="nil"/>
              <w:bottom w:val="nil"/>
              <w:right w:val="single" w:sz="4" w:space="0" w:color="auto"/>
            </w:tcBorders>
            <w:shd w:val="clear" w:color="auto" w:fill="auto"/>
            <w:noWrap/>
            <w:vAlign w:val="center"/>
            <w:hideMark/>
          </w:tcPr>
          <w:p w14:paraId="62EF214A" w14:textId="77777777" w:rsidR="004E1036" w:rsidRPr="007F2D4C" w:rsidRDefault="004E1036">
            <w:pPr>
              <w:rPr>
                <w:sz w:val="20"/>
                <w:szCs w:val="20"/>
              </w:rPr>
            </w:pPr>
            <w:r w:rsidRPr="007F2D4C">
              <w:rPr>
                <w:sz w:val="20"/>
                <w:szCs w:val="20"/>
              </w:rPr>
              <w:t>IIC***</w:t>
            </w:r>
          </w:p>
        </w:tc>
        <w:tc>
          <w:tcPr>
            <w:tcW w:w="2320" w:type="dxa"/>
            <w:tcBorders>
              <w:top w:val="single" w:sz="4" w:space="0" w:color="auto"/>
              <w:left w:val="nil"/>
              <w:bottom w:val="nil"/>
              <w:right w:val="single" w:sz="4" w:space="0" w:color="auto"/>
            </w:tcBorders>
            <w:shd w:val="clear" w:color="auto" w:fill="auto"/>
            <w:noWrap/>
            <w:vAlign w:val="center"/>
            <w:hideMark/>
          </w:tcPr>
          <w:p w14:paraId="0ADD010F" w14:textId="77777777" w:rsidR="004E1036" w:rsidRPr="007F2D4C" w:rsidRDefault="004E1036">
            <w:pPr>
              <w:jc w:val="center"/>
              <w:rPr>
                <w:sz w:val="20"/>
                <w:szCs w:val="20"/>
              </w:rPr>
            </w:pPr>
            <w:r w:rsidRPr="007F2D4C">
              <w:rPr>
                <w:sz w:val="20"/>
                <w:szCs w:val="20"/>
              </w:rPr>
              <w:t>USD</w:t>
            </w:r>
          </w:p>
        </w:tc>
        <w:tc>
          <w:tcPr>
            <w:tcW w:w="1340" w:type="dxa"/>
            <w:tcBorders>
              <w:top w:val="single" w:sz="4" w:space="0" w:color="auto"/>
              <w:left w:val="nil"/>
              <w:bottom w:val="nil"/>
              <w:right w:val="single" w:sz="4" w:space="0" w:color="auto"/>
            </w:tcBorders>
            <w:shd w:val="clear" w:color="auto" w:fill="auto"/>
            <w:noWrap/>
            <w:vAlign w:val="center"/>
            <w:hideMark/>
          </w:tcPr>
          <w:p w14:paraId="5B7E4283" w14:textId="77777777" w:rsidR="004E1036" w:rsidRPr="007F2D4C" w:rsidRDefault="004E1036">
            <w:pPr>
              <w:jc w:val="right"/>
              <w:rPr>
                <w:sz w:val="20"/>
                <w:szCs w:val="20"/>
              </w:rPr>
            </w:pPr>
            <w:r w:rsidRPr="007F2D4C">
              <w:rPr>
                <w:sz w:val="20"/>
                <w:szCs w:val="20"/>
              </w:rPr>
              <w:t>175.171,56</w:t>
            </w:r>
          </w:p>
        </w:tc>
        <w:tc>
          <w:tcPr>
            <w:tcW w:w="1600" w:type="dxa"/>
            <w:tcBorders>
              <w:top w:val="single" w:sz="4" w:space="0" w:color="auto"/>
              <w:left w:val="nil"/>
              <w:bottom w:val="nil"/>
              <w:right w:val="single" w:sz="4" w:space="0" w:color="auto"/>
            </w:tcBorders>
            <w:shd w:val="clear" w:color="auto" w:fill="auto"/>
            <w:vAlign w:val="center"/>
            <w:hideMark/>
          </w:tcPr>
          <w:p w14:paraId="15CA7FEC" w14:textId="77777777" w:rsidR="004E1036" w:rsidRPr="007F2D4C" w:rsidRDefault="004E1036">
            <w:pPr>
              <w:jc w:val="right"/>
              <w:rPr>
                <w:sz w:val="20"/>
                <w:szCs w:val="20"/>
              </w:rPr>
            </w:pPr>
            <w:r w:rsidRPr="007F2D4C">
              <w:rPr>
                <w:sz w:val="20"/>
                <w:szCs w:val="20"/>
              </w:rPr>
              <w:t>1.163.761,02</w:t>
            </w:r>
          </w:p>
        </w:tc>
      </w:tr>
      <w:tr w:rsidR="004E1036" w:rsidRPr="007F2D4C" w14:paraId="7F5B52A9" w14:textId="77777777" w:rsidTr="007F2D4C">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10DEEE" w14:textId="77777777" w:rsidR="004E1036" w:rsidRPr="007F2D4C" w:rsidRDefault="004E1036">
            <w:pPr>
              <w:jc w:val="center"/>
              <w:rPr>
                <w:sz w:val="20"/>
                <w:szCs w:val="20"/>
              </w:rPr>
            </w:pPr>
            <w:r w:rsidRPr="007F2D4C">
              <w:rPr>
                <w:sz w:val="20"/>
                <w:szCs w:val="20"/>
              </w:rPr>
              <w:t>10</w:t>
            </w:r>
          </w:p>
        </w:tc>
        <w:tc>
          <w:tcPr>
            <w:tcW w:w="2500" w:type="dxa"/>
            <w:tcBorders>
              <w:top w:val="single" w:sz="4" w:space="0" w:color="auto"/>
              <w:left w:val="nil"/>
              <w:bottom w:val="nil"/>
              <w:right w:val="single" w:sz="4" w:space="0" w:color="auto"/>
            </w:tcBorders>
            <w:shd w:val="clear" w:color="auto" w:fill="auto"/>
            <w:noWrap/>
            <w:vAlign w:val="center"/>
            <w:hideMark/>
          </w:tcPr>
          <w:p w14:paraId="2E455323" w14:textId="77777777" w:rsidR="004E1036" w:rsidRPr="007F2D4C" w:rsidRDefault="004E1036">
            <w:pPr>
              <w:rPr>
                <w:sz w:val="20"/>
                <w:szCs w:val="20"/>
              </w:rPr>
            </w:pPr>
            <w:r w:rsidRPr="007F2D4C">
              <w:rPr>
                <w:sz w:val="20"/>
                <w:szCs w:val="20"/>
              </w:rPr>
              <w:t>AIIB</w:t>
            </w:r>
          </w:p>
        </w:tc>
        <w:tc>
          <w:tcPr>
            <w:tcW w:w="2320" w:type="dxa"/>
            <w:tcBorders>
              <w:top w:val="single" w:sz="4" w:space="0" w:color="auto"/>
              <w:left w:val="nil"/>
              <w:bottom w:val="nil"/>
              <w:right w:val="single" w:sz="4" w:space="0" w:color="auto"/>
            </w:tcBorders>
            <w:shd w:val="clear" w:color="auto" w:fill="auto"/>
            <w:noWrap/>
            <w:vAlign w:val="center"/>
            <w:hideMark/>
          </w:tcPr>
          <w:p w14:paraId="3493372A" w14:textId="77777777" w:rsidR="004E1036" w:rsidRPr="007F2D4C" w:rsidRDefault="004E1036">
            <w:pPr>
              <w:jc w:val="center"/>
              <w:rPr>
                <w:sz w:val="20"/>
                <w:szCs w:val="20"/>
              </w:rPr>
            </w:pPr>
            <w:r w:rsidRPr="007F2D4C">
              <w:rPr>
                <w:sz w:val="20"/>
                <w:szCs w:val="20"/>
              </w:rPr>
              <w:t>USD</w:t>
            </w:r>
          </w:p>
        </w:tc>
        <w:tc>
          <w:tcPr>
            <w:tcW w:w="1340" w:type="dxa"/>
            <w:tcBorders>
              <w:top w:val="single" w:sz="4" w:space="0" w:color="auto"/>
              <w:left w:val="nil"/>
              <w:bottom w:val="nil"/>
              <w:right w:val="single" w:sz="4" w:space="0" w:color="auto"/>
            </w:tcBorders>
            <w:shd w:val="clear" w:color="auto" w:fill="auto"/>
            <w:noWrap/>
            <w:vAlign w:val="center"/>
            <w:hideMark/>
          </w:tcPr>
          <w:p w14:paraId="0EB80ABF" w14:textId="77777777" w:rsidR="004E1036" w:rsidRPr="007F2D4C" w:rsidRDefault="004E1036">
            <w:pPr>
              <w:jc w:val="right"/>
              <w:rPr>
                <w:sz w:val="20"/>
                <w:szCs w:val="20"/>
              </w:rPr>
            </w:pPr>
            <w:r w:rsidRPr="007F2D4C">
              <w:rPr>
                <w:sz w:val="20"/>
                <w:szCs w:val="20"/>
              </w:rPr>
              <w:t>200.000,00</w:t>
            </w:r>
          </w:p>
        </w:tc>
        <w:tc>
          <w:tcPr>
            <w:tcW w:w="1600" w:type="dxa"/>
            <w:tcBorders>
              <w:top w:val="single" w:sz="4" w:space="0" w:color="auto"/>
              <w:left w:val="nil"/>
              <w:bottom w:val="nil"/>
              <w:right w:val="single" w:sz="4" w:space="0" w:color="auto"/>
            </w:tcBorders>
            <w:shd w:val="clear" w:color="auto" w:fill="auto"/>
            <w:vAlign w:val="center"/>
            <w:hideMark/>
          </w:tcPr>
          <w:p w14:paraId="4580F59D" w14:textId="77777777" w:rsidR="004E1036" w:rsidRPr="007F2D4C" w:rsidRDefault="004E1036">
            <w:pPr>
              <w:jc w:val="right"/>
              <w:rPr>
                <w:sz w:val="20"/>
                <w:szCs w:val="20"/>
              </w:rPr>
            </w:pPr>
            <w:r w:rsidRPr="007F2D4C">
              <w:rPr>
                <w:sz w:val="20"/>
                <w:szCs w:val="20"/>
              </w:rPr>
              <w:t>1.328.710,00</w:t>
            </w:r>
          </w:p>
        </w:tc>
      </w:tr>
      <w:tr w:rsidR="004E1036" w:rsidRPr="007F2D4C" w14:paraId="4F91BD77" w14:textId="77777777" w:rsidTr="007F2D4C">
        <w:trPr>
          <w:trHeight w:val="285"/>
          <w:jc w:val="center"/>
        </w:trPr>
        <w:tc>
          <w:tcPr>
            <w:tcW w:w="3340" w:type="dxa"/>
            <w:gridSpan w:val="2"/>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14:paraId="6D7F1A4C" w14:textId="77777777" w:rsidR="004E1036" w:rsidRPr="007F2D4C" w:rsidRDefault="004E1036">
            <w:pPr>
              <w:jc w:val="center"/>
              <w:rPr>
                <w:b/>
                <w:bCs/>
                <w:sz w:val="20"/>
                <w:szCs w:val="20"/>
              </w:rPr>
            </w:pPr>
            <w:r w:rsidRPr="007F2D4C">
              <w:rPr>
                <w:b/>
                <w:bCs/>
                <w:sz w:val="20"/>
                <w:szCs w:val="20"/>
              </w:rPr>
              <w:t>UKUPNO</w:t>
            </w:r>
          </w:p>
        </w:tc>
        <w:tc>
          <w:tcPr>
            <w:tcW w:w="2320" w:type="dxa"/>
            <w:tcBorders>
              <w:top w:val="double" w:sz="6" w:space="0" w:color="auto"/>
              <w:left w:val="nil"/>
              <w:bottom w:val="double" w:sz="6" w:space="0" w:color="auto"/>
              <w:right w:val="nil"/>
            </w:tcBorders>
            <w:shd w:val="clear" w:color="auto" w:fill="auto"/>
            <w:noWrap/>
            <w:vAlign w:val="center"/>
            <w:hideMark/>
          </w:tcPr>
          <w:p w14:paraId="4020CE05" w14:textId="77777777" w:rsidR="004E1036" w:rsidRPr="007F2D4C" w:rsidRDefault="004E1036">
            <w:pPr>
              <w:jc w:val="center"/>
              <w:rPr>
                <w:b/>
                <w:bCs/>
                <w:sz w:val="20"/>
                <w:szCs w:val="20"/>
              </w:rPr>
            </w:pPr>
            <w:r w:rsidRPr="007F2D4C">
              <w:rPr>
                <w:b/>
                <w:bCs/>
                <w:sz w:val="20"/>
                <w:szCs w:val="20"/>
              </w:rPr>
              <w:t>USD</w:t>
            </w:r>
          </w:p>
        </w:tc>
        <w:tc>
          <w:tcPr>
            <w:tcW w:w="134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58C6BC2" w14:textId="77777777" w:rsidR="004E1036" w:rsidRPr="007F2D4C" w:rsidRDefault="004E1036">
            <w:pPr>
              <w:jc w:val="right"/>
              <w:rPr>
                <w:sz w:val="20"/>
                <w:szCs w:val="20"/>
              </w:rPr>
            </w:pPr>
            <w:r w:rsidRPr="007F2D4C">
              <w:rPr>
                <w:sz w:val="20"/>
                <w:szCs w:val="20"/>
              </w:rPr>
              <w:t>64.810.706,31</w:t>
            </w:r>
          </w:p>
        </w:tc>
        <w:tc>
          <w:tcPr>
            <w:tcW w:w="1600" w:type="dxa"/>
            <w:tcBorders>
              <w:top w:val="double" w:sz="6" w:space="0" w:color="auto"/>
              <w:left w:val="nil"/>
              <w:bottom w:val="double" w:sz="6" w:space="0" w:color="auto"/>
              <w:right w:val="double" w:sz="6" w:space="0" w:color="auto"/>
            </w:tcBorders>
            <w:shd w:val="clear" w:color="auto" w:fill="auto"/>
            <w:noWrap/>
            <w:vAlign w:val="center"/>
            <w:hideMark/>
          </w:tcPr>
          <w:p w14:paraId="370ED86E" w14:textId="77777777" w:rsidR="004E1036" w:rsidRPr="007F2D4C" w:rsidRDefault="004E1036">
            <w:pPr>
              <w:jc w:val="right"/>
              <w:rPr>
                <w:sz w:val="20"/>
                <w:szCs w:val="20"/>
              </w:rPr>
            </w:pPr>
            <w:r w:rsidRPr="007F2D4C">
              <w:rPr>
                <w:sz w:val="20"/>
                <w:szCs w:val="20"/>
              </w:rPr>
              <w:t>430.573.167,91</w:t>
            </w:r>
          </w:p>
        </w:tc>
      </w:tr>
      <w:tr w:rsidR="004E1036" w:rsidRPr="007F2D4C" w14:paraId="61BB0E2F" w14:textId="77777777" w:rsidTr="007F2D4C">
        <w:trPr>
          <w:trHeight w:val="285"/>
          <w:jc w:val="center"/>
        </w:trPr>
        <w:tc>
          <w:tcPr>
            <w:tcW w:w="3340" w:type="dxa"/>
            <w:gridSpan w:val="2"/>
            <w:vMerge/>
            <w:tcBorders>
              <w:top w:val="double" w:sz="6" w:space="0" w:color="auto"/>
              <w:left w:val="double" w:sz="6" w:space="0" w:color="auto"/>
              <w:bottom w:val="double" w:sz="6" w:space="0" w:color="000000"/>
              <w:right w:val="double" w:sz="6" w:space="0" w:color="000000"/>
            </w:tcBorders>
            <w:vAlign w:val="center"/>
            <w:hideMark/>
          </w:tcPr>
          <w:p w14:paraId="251E5F57" w14:textId="77777777" w:rsidR="004E1036" w:rsidRPr="007F2D4C" w:rsidRDefault="004E1036">
            <w:pPr>
              <w:rPr>
                <w:b/>
                <w:bCs/>
                <w:sz w:val="20"/>
                <w:szCs w:val="20"/>
              </w:rPr>
            </w:pPr>
          </w:p>
        </w:tc>
        <w:tc>
          <w:tcPr>
            <w:tcW w:w="2320" w:type="dxa"/>
            <w:tcBorders>
              <w:top w:val="nil"/>
              <w:left w:val="nil"/>
              <w:bottom w:val="double" w:sz="6" w:space="0" w:color="auto"/>
              <w:right w:val="nil"/>
            </w:tcBorders>
            <w:shd w:val="clear" w:color="auto" w:fill="auto"/>
            <w:noWrap/>
            <w:vAlign w:val="center"/>
            <w:hideMark/>
          </w:tcPr>
          <w:p w14:paraId="193C4FAB" w14:textId="77777777" w:rsidR="004E1036" w:rsidRPr="007F2D4C" w:rsidRDefault="004E1036">
            <w:pPr>
              <w:jc w:val="center"/>
              <w:rPr>
                <w:b/>
                <w:bCs/>
                <w:sz w:val="20"/>
                <w:szCs w:val="20"/>
              </w:rPr>
            </w:pPr>
            <w:r w:rsidRPr="007F2D4C">
              <w:rPr>
                <w:b/>
                <w:bCs/>
                <w:sz w:val="20"/>
                <w:szCs w:val="20"/>
              </w:rPr>
              <w:t>EUR</w:t>
            </w:r>
          </w:p>
        </w:tc>
        <w:tc>
          <w:tcPr>
            <w:tcW w:w="1340" w:type="dxa"/>
            <w:tcBorders>
              <w:top w:val="nil"/>
              <w:left w:val="double" w:sz="6" w:space="0" w:color="auto"/>
              <w:bottom w:val="double" w:sz="6" w:space="0" w:color="auto"/>
              <w:right w:val="double" w:sz="6" w:space="0" w:color="auto"/>
            </w:tcBorders>
            <w:shd w:val="clear" w:color="auto" w:fill="auto"/>
            <w:noWrap/>
            <w:vAlign w:val="center"/>
            <w:hideMark/>
          </w:tcPr>
          <w:p w14:paraId="39C91C67" w14:textId="77777777" w:rsidR="004E1036" w:rsidRPr="007F2D4C" w:rsidRDefault="004E1036">
            <w:pPr>
              <w:jc w:val="right"/>
              <w:rPr>
                <w:sz w:val="20"/>
                <w:szCs w:val="20"/>
              </w:rPr>
            </w:pPr>
            <w:r w:rsidRPr="007F2D4C">
              <w:rPr>
                <w:sz w:val="20"/>
                <w:szCs w:val="20"/>
              </w:rPr>
              <w:t>104.678.078,00</w:t>
            </w:r>
          </w:p>
        </w:tc>
        <w:tc>
          <w:tcPr>
            <w:tcW w:w="1600" w:type="dxa"/>
            <w:tcBorders>
              <w:top w:val="nil"/>
              <w:left w:val="nil"/>
              <w:bottom w:val="double" w:sz="6" w:space="0" w:color="auto"/>
              <w:right w:val="double" w:sz="6" w:space="0" w:color="auto"/>
            </w:tcBorders>
            <w:shd w:val="clear" w:color="auto" w:fill="auto"/>
            <w:noWrap/>
            <w:vAlign w:val="center"/>
            <w:hideMark/>
          </w:tcPr>
          <w:p w14:paraId="7353679E" w14:textId="77777777" w:rsidR="004E1036" w:rsidRPr="007F2D4C" w:rsidRDefault="004E1036">
            <w:pPr>
              <w:jc w:val="right"/>
              <w:rPr>
                <w:sz w:val="20"/>
                <w:szCs w:val="20"/>
              </w:rPr>
            </w:pPr>
            <w:r w:rsidRPr="007F2D4C">
              <w:rPr>
                <w:sz w:val="20"/>
                <w:szCs w:val="20"/>
              </w:rPr>
              <w:t>786.882.907,60</w:t>
            </w:r>
          </w:p>
        </w:tc>
      </w:tr>
      <w:tr w:rsidR="004E1036" w:rsidRPr="007F2D4C" w14:paraId="66D339D0" w14:textId="77777777" w:rsidTr="007F2D4C">
        <w:trPr>
          <w:trHeight w:val="285"/>
          <w:jc w:val="center"/>
        </w:trPr>
        <w:tc>
          <w:tcPr>
            <w:tcW w:w="840" w:type="dxa"/>
            <w:tcBorders>
              <w:top w:val="nil"/>
              <w:left w:val="nil"/>
              <w:bottom w:val="nil"/>
              <w:right w:val="nil"/>
            </w:tcBorders>
            <w:shd w:val="clear" w:color="auto" w:fill="auto"/>
            <w:noWrap/>
            <w:vAlign w:val="center"/>
            <w:hideMark/>
          </w:tcPr>
          <w:p w14:paraId="601C0F98" w14:textId="77777777" w:rsidR="004E1036" w:rsidRPr="007F2D4C" w:rsidRDefault="004E1036">
            <w:pPr>
              <w:jc w:val="right"/>
              <w:rPr>
                <w:sz w:val="20"/>
                <w:szCs w:val="20"/>
              </w:rPr>
            </w:pPr>
          </w:p>
        </w:tc>
        <w:tc>
          <w:tcPr>
            <w:tcW w:w="2500" w:type="dxa"/>
            <w:tcBorders>
              <w:top w:val="nil"/>
              <w:left w:val="nil"/>
              <w:bottom w:val="nil"/>
              <w:right w:val="nil"/>
            </w:tcBorders>
            <w:shd w:val="clear" w:color="auto" w:fill="auto"/>
            <w:noWrap/>
            <w:vAlign w:val="center"/>
            <w:hideMark/>
          </w:tcPr>
          <w:p w14:paraId="2F8F10FD" w14:textId="77777777" w:rsidR="004E1036" w:rsidRPr="007F2D4C" w:rsidRDefault="004E1036">
            <w:pPr>
              <w:rPr>
                <w:sz w:val="20"/>
                <w:szCs w:val="20"/>
              </w:rPr>
            </w:pPr>
          </w:p>
        </w:tc>
        <w:tc>
          <w:tcPr>
            <w:tcW w:w="2320" w:type="dxa"/>
            <w:tcBorders>
              <w:top w:val="nil"/>
              <w:left w:val="nil"/>
              <w:bottom w:val="nil"/>
              <w:right w:val="nil"/>
            </w:tcBorders>
            <w:shd w:val="clear" w:color="auto" w:fill="auto"/>
            <w:noWrap/>
            <w:vAlign w:val="center"/>
            <w:hideMark/>
          </w:tcPr>
          <w:p w14:paraId="1E8B7A6D" w14:textId="77777777" w:rsidR="004E1036" w:rsidRPr="007F2D4C" w:rsidRDefault="004E1036">
            <w:pPr>
              <w:rPr>
                <w:sz w:val="20"/>
                <w:szCs w:val="20"/>
              </w:rPr>
            </w:pPr>
          </w:p>
        </w:tc>
        <w:tc>
          <w:tcPr>
            <w:tcW w:w="1340" w:type="dxa"/>
            <w:tcBorders>
              <w:top w:val="nil"/>
              <w:left w:val="nil"/>
              <w:bottom w:val="nil"/>
              <w:right w:val="nil"/>
            </w:tcBorders>
            <w:shd w:val="clear" w:color="auto" w:fill="auto"/>
            <w:noWrap/>
            <w:vAlign w:val="center"/>
            <w:hideMark/>
          </w:tcPr>
          <w:p w14:paraId="67E46A22" w14:textId="77777777" w:rsidR="004E1036" w:rsidRPr="007F2D4C" w:rsidRDefault="004E1036">
            <w:pPr>
              <w:jc w:val="right"/>
              <w:rPr>
                <w:sz w:val="20"/>
                <w:szCs w:val="20"/>
              </w:rPr>
            </w:pPr>
          </w:p>
        </w:tc>
        <w:tc>
          <w:tcPr>
            <w:tcW w:w="1600" w:type="dxa"/>
            <w:tcBorders>
              <w:top w:val="nil"/>
              <w:left w:val="double" w:sz="6" w:space="0" w:color="auto"/>
              <w:bottom w:val="double" w:sz="6" w:space="0" w:color="auto"/>
              <w:right w:val="double" w:sz="6" w:space="0" w:color="auto"/>
            </w:tcBorders>
            <w:shd w:val="clear" w:color="auto" w:fill="auto"/>
            <w:noWrap/>
            <w:vAlign w:val="center"/>
            <w:hideMark/>
          </w:tcPr>
          <w:p w14:paraId="40C87F94" w14:textId="77777777" w:rsidR="004E1036" w:rsidRPr="007F2D4C" w:rsidRDefault="004E1036">
            <w:pPr>
              <w:jc w:val="right"/>
              <w:rPr>
                <w:b/>
                <w:bCs/>
                <w:sz w:val="20"/>
                <w:szCs w:val="20"/>
              </w:rPr>
            </w:pPr>
            <w:r w:rsidRPr="007F2D4C">
              <w:rPr>
                <w:b/>
                <w:bCs/>
                <w:sz w:val="20"/>
                <w:szCs w:val="20"/>
              </w:rPr>
              <w:t>1.217.456.075,51</w:t>
            </w:r>
          </w:p>
        </w:tc>
      </w:tr>
    </w:tbl>
    <w:p w14:paraId="2C7DF13B" w14:textId="77777777" w:rsidR="004E1036" w:rsidRPr="00B852EF" w:rsidRDefault="004E1036" w:rsidP="00187157">
      <w:pPr>
        <w:jc w:val="both"/>
        <w:rPr>
          <w:b/>
          <w:sz w:val="20"/>
          <w:szCs w:val="20"/>
        </w:rPr>
      </w:pPr>
    </w:p>
    <w:p w14:paraId="762B7E67" w14:textId="0367477F" w:rsidR="004E1036" w:rsidRPr="00B852EF" w:rsidRDefault="004E1036" w:rsidP="00187157">
      <w:pPr>
        <w:jc w:val="both"/>
        <w:rPr>
          <w:szCs w:val="20"/>
        </w:rPr>
      </w:pPr>
      <w:r w:rsidRPr="00B852EF">
        <w:rPr>
          <w:szCs w:val="20"/>
        </w:rPr>
        <w:t>* Stanje na kraju 2018. godine iznosilo je 21.727.569,85 USD. Sukladno Odluci Vlade RH obveza po osnovi povećanja kapitala IBRD-a plaća se u 5 jednakih obroka u iznosu od 1.629.537,58 USD svaki (od čega 1.355.937,40 USD za opće povećanje kapitala i 273.600,18 USD za selektivno povećanje). Takve iznose potvrdio je i IBRD prije izvršenja prve uplate. Međutim, tek nakon izvršenja plaćanja prvog obroka, Banka je MFIN izvijestila da se od iznosa uplate prve rate priznaje samo 1.618.921,70 USD, slijedom čega proizlazi stanje kapitala na kraju 2019. godine. Razlika između uplaćenog i priznatog iznosa prvog obroka iznosi 10.615,88 USD i prebacuje se na buduće obroke (najvjerojatnije na posljednje obroke). Naime, uplatom iznosa od 1.355.937,40 USD dobiva se 56,2 dionice, a uplatom 273.600,18 USD 37,8 dionica, međutim Banka ne može evidentirati broj dionica izražen u decimalnom nego isključivo u cijelom broju, kojom prilikom se decimalni broj dionica zaokružuje i posljedično nastaje ranije spomenuta razlika od 10.615,88 USD. Nadalje, nakon izvršenja plaćanja drugog obroka, Banka je MFIN izvijestila da se od iznosa uplate druge rate priznaje samo 1.626.159,80 USD, a da se razlika od 3.377,78 USD također prebacuje na buduće obroke. Slijedom navedenoga, stanje na kraju 2020. godine jednako je stanju na kraju 2019. godine uvećanom za priznati iznos drugog obroka. Nakon izvršenja plaćanja trećeg obroka, Banka je MFIN izvijestila da se, od iznosa uplate treće rate priznaje samo 1.626.159,80 USD, a da se razlika od 3.377,78 USD prebacuje na buduće obroke što dovodi da je stanje na kraju 2021. godine jednako stanju na kraju 2020. godine uvećanom za priznati iznos trećeg obroka.</w:t>
      </w:r>
    </w:p>
    <w:p w14:paraId="1673514B" w14:textId="77777777" w:rsidR="003D546C" w:rsidRPr="00B852EF" w:rsidRDefault="003D546C" w:rsidP="00187157">
      <w:pPr>
        <w:jc w:val="both"/>
        <w:rPr>
          <w:szCs w:val="20"/>
        </w:rPr>
      </w:pPr>
    </w:p>
    <w:p w14:paraId="610260B8" w14:textId="329FD43C" w:rsidR="00A44503" w:rsidRPr="00B852EF" w:rsidRDefault="004E1036" w:rsidP="00187157">
      <w:pPr>
        <w:jc w:val="both"/>
        <w:rPr>
          <w:szCs w:val="20"/>
        </w:rPr>
      </w:pPr>
      <w:r w:rsidRPr="00B852EF">
        <w:rPr>
          <w:szCs w:val="20"/>
        </w:rPr>
        <w:t>** Iako nije bilo novih uplata u 2021. godini stanje obveza na 31.12.2020. i 31.12.2021. nije identično iz razloga što IDA svaku dosadašnju uplatu, koje se izvršavaju u HRK (izdavanjem mjenica unovčivih na prvi poziv), preračunava u USD po posebnom tečaju, ovisno o datumu izrade izvještaja. U stanje obveza nije uvrštena obveza izdavanja mjenice 2026. godine, koja je unovčiva na prvi poziv, u iznosu od 164.701,00 HRK (IDA na 31.12.2021. taj iznos vodi kao 24.806,00 USD).</w:t>
      </w:r>
    </w:p>
    <w:p w14:paraId="389DDC9C" w14:textId="27E2FB99" w:rsidR="004E1036" w:rsidRPr="00B852EF" w:rsidRDefault="004E1036" w:rsidP="00187157">
      <w:pPr>
        <w:jc w:val="both"/>
        <w:rPr>
          <w:szCs w:val="20"/>
        </w:rPr>
      </w:pPr>
    </w:p>
    <w:p w14:paraId="49DAEFE7" w14:textId="4D6C4E14" w:rsidR="004E1036" w:rsidRDefault="004E1036" w:rsidP="00187157">
      <w:pPr>
        <w:jc w:val="both"/>
        <w:rPr>
          <w:szCs w:val="20"/>
        </w:rPr>
      </w:pPr>
      <w:r w:rsidRPr="00B852EF">
        <w:rPr>
          <w:szCs w:val="20"/>
        </w:rPr>
        <w:t>*** Iznos uplate u 2021. godini IDB je transferirao iz svojih ostvarenih prihoda od redovnog kapitala u kapital RH u IIC-u.</w:t>
      </w:r>
    </w:p>
    <w:p w14:paraId="7A3B69A7" w14:textId="0041877B" w:rsidR="00322655" w:rsidRDefault="00322655" w:rsidP="00322655">
      <w:pPr>
        <w:jc w:val="both"/>
      </w:pPr>
    </w:p>
    <w:p w14:paraId="6B9AF255" w14:textId="53E9A397" w:rsidR="00322655" w:rsidRPr="00C85DCC" w:rsidRDefault="00322655" w:rsidP="00322655">
      <w:pPr>
        <w:keepNext/>
        <w:jc w:val="center"/>
        <w:rPr>
          <w:sz w:val="28"/>
        </w:rPr>
      </w:pPr>
      <w:r w:rsidRPr="00C85DCC">
        <w:rPr>
          <w:sz w:val="28"/>
        </w:rPr>
        <w:lastRenderedPageBreak/>
        <w:t>Bilješka</w:t>
      </w:r>
      <w:r w:rsidR="00C85DCC" w:rsidRPr="00C85DCC">
        <w:rPr>
          <w:sz w:val="28"/>
        </w:rPr>
        <w:t xml:space="preserve"> 13.</w:t>
      </w:r>
    </w:p>
    <w:p w14:paraId="4E2C3DB6" w14:textId="31D29A3B" w:rsidR="00322655" w:rsidRPr="00D42A73" w:rsidRDefault="00322655" w:rsidP="00322655">
      <w:pPr>
        <w:keepNext/>
        <w:jc w:val="center"/>
        <w:rPr>
          <w:sz w:val="28"/>
        </w:rPr>
      </w:pPr>
      <w:r w:rsidRPr="00D42A73">
        <w:rPr>
          <w:sz w:val="28"/>
        </w:rPr>
        <w:t>AOP 151 Potraživanja za povrat pomoći danih unutar općeg proračuna po protestiranim jamstvima</w:t>
      </w:r>
    </w:p>
    <w:p w14:paraId="2B2C0CF9" w14:textId="4B4B8C71" w:rsidR="00322655" w:rsidRDefault="00322655" w:rsidP="00322655">
      <w:pPr>
        <w:jc w:val="both"/>
      </w:pPr>
      <w:r w:rsidRPr="00D42A73">
        <w:t xml:space="preserve">Potraživanja za povrat pomoći danih unutar općeg proračuna po protestiranim jamstvima na 31.12.2021. godine iznose 1.274.715.978 kuna od čega se na HŽ Infrastrukturu d.o.o. odnosi 1.256.434.184,60 kuna, na HŽ Putnički prijevoz d.o.o. 17.150.039,27 kuna te potraživanja za zajmove dane drugim razinama vlasti po protestiranim jamstvima čiji je pregled dan u Tablici </w:t>
      </w:r>
      <w:r w:rsidR="00627E47">
        <w:t>4</w:t>
      </w:r>
      <w:bookmarkStart w:id="2" w:name="_GoBack"/>
      <w:bookmarkEnd w:id="2"/>
      <w:r w:rsidR="00C85DCC">
        <w:t xml:space="preserve">. </w:t>
      </w:r>
      <w:r w:rsidRPr="00D42A73">
        <w:t>u iznosu od 1.131.753,69 kuna.</w:t>
      </w:r>
    </w:p>
    <w:p w14:paraId="146F14A1" w14:textId="77777777" w:rsidR="00D42A73" w:rsidRPr="00D42A73" w:rsidRDefault="00D42A73" w:rsidP="00322655">
      <w:pPr>
        <w:jc w:val="both"/>
      </w:pPr>
    </w:p>
    <w:p w14:paraId="27066304" w14:textId="38A09DE7" w:rsidR="00322655" w:rsidRPr="00D42A73" w:rsidRDefault="00322655" w:rsidP="00B852EF">
      <w:pPr>
        <w:tabs>
          <w:tab w:val="decimal" w:pos="8820"/>
        </w:tabs>
        <w:ind w:left="720"/>
        <w:jc w:val="both"/>
        <w:rPr>
          <w:b/>
          <w:sz w:val="20"/>
        </w:rPr>
      </w:pPr>
      <w:r w:rsidRPr="00D42A73">
        <w:rPr>
          <w:b/>
          <w:sz w:val="20"/>
        </w:rPr>
        <w:t xml:space="preserve">Tablica </w:t>
      </w:r>
      <w:r w:rsidR="00A654F7">
        <w:rPr>
          <w:b/>
          <w:sz w:val="20"/>
        </w:rPr>
        <w:t>4</w:t>
      </w:r>
      <w:r w:rsidR="00B852EF" w:rsidRPr="00D42A73">
        <w:rPr>
          <w:b/>
          <w:sz w:val="20"/>
        </w:rPr>
        <w:t>.</w:t>
      </w:r>
    </w:p>
    <w:tbl>
      <w:tblPr>
        <w:tblW w:w="9015" w:type="dxa"/>
        <w:jc w:val="center"/>
        <w:tblLook w:val="0000" w:firstRow="0" w:lastRow="0" w:firstColumn="0" w:lastColumn="0" w:noHBand="0" w:noVBand="0"/>
      </w:tblPr>
      <w:tblGrid>
        <w:gridCol w:w="980"/>
        <w:gridCol w:w="3972"/>
        <w:gridCol w:w="4063"/>
      </w:tblGrid>
      <w:tr w:rsidR="00322655" w:rsidRPr="00D42A73" w14:paraId="2C492889" w14:textId="77777777" w:rsidTr="00B852EF">
        <w:trPr>
          <w:trHeight w:val="789"/>
          <w:jc w:val="center"/>
        </w:trPr>
        <w:tc>
          <w:tcPr>
            <w:tcW w:w="980" w:type="dxa"/>
            <w:tcBorders>
              <w:top w:val="single" w:sz="8" w:space="0" w:color="auto"/>
              <w:left w:val="single" w:sz="8" w:space="0" w:color="auto"/>
              <w:bottom w:val="single" w:sz="4" w:space="0" w:color="auto"/>
              <w:right w:val="single" w:sz="4" w:space="0" w:color="auto"/>
            </w:tcBorders>
            <w:shd w:val="clear" w:color="auto" w:fill="auto"/>
            <w:vAlign w:val="center"/>
          </w:tcPr>
          <w:p w14:paraId="3B1152FD" w14:textId="77777777" w:rsidR="00322655" w:rsidRPr="00D42A73" w:rsidRDefault="00322655" w:rsidP="007375C3">
            <w:pPr>
              <w:jc w:val="center"/>
              <w:rPr>
                <w:b/>
                <w:bCs/>
                <w:sz w:val="20"/>
                <w:szCs w:val="20"/>
              </w:rPr>
            </w:pPr>
            <w:r w:rsidRPr="00D42A73">
              <w:rPr>
                <w:b/>
                <w:bCs/>
                <w:sz w:val="20"/>
                <w:szCs w:val="20"/>
              </w:rPr>
              <w:t>Red. broj</w:t>
            </w:r>
          </w:p>
        </w:tc>
        <w:tc>
          <w:tcPr>
            <w:tcW w:w="3972" w:type="dxa"/>
            <w:tcBorders>
              <w:top w:val="single" w:sz="8" w:space="0" w:color="auto"/>
              <w:left w:val="nil"/>
              <w:bottom w:val="single" w:sz="4" w:space="0" w:color="auto"/>
              <w:right w:val="single" w:sz="4" w:space="0" w:color="auto"/>
            </w:tcBorders>
            <w:shd w:val="clear" w:color="auto" w:fill="auto"/>
            <w:noWrap/>
            <w:vAlign w:val="center"/>
          </w:tcPr>
          <w:p w14:paraId="22A99924" w14:textId="77777777" w:rsidR="00322655" w:rsidRPr="00D42A73" w:rsidRDefault="00322655" w:rsidP="007375C3">
            <w:pPr>
              <w:jc w:val="center"/>
              <w:rPr>
                <w:b/>
                <w:bCs/>
                <w:sz w:val="20"/>
                <w:szCs w:val="20"/>
              </w:rPr>
            </w:pPr>
            <w:r w:rsidRPr="00D42A73">
              <w:rPr>
                <w:b/>
                <w:bCs/>
                <w:sz w:val="20"/>
                <w:szCs w:val="20"/>
              </w:rPr>
              <w:t>Dužnik</w:t>
            </w:r>
          </w:p>
        </w:tc>
        <w:tc>
          <w:tcPr>
            <w:tcW w:w="4063" w:type="dxa"/>
            <w:tcBorders>
              <w:top w:val="single" w:sz="8" w:space="0" w:color="auto"/>
              <w:left w:val="nil"/>
              <w:bottom w:val="single" w:sz="4" w:space="0" w:color="auto"/>
              <w:right w:val="single" w:sz="8" w:space="0" w:color="auto"/>
            </w:tcBorders>
            <w:shd w:val="clear" w:color="auto" w:fill="auto"/>
            <w:vAlign w:val="center"/>
          </w:tcPr>
          <w:p w14:paraId="5F64BCC3" w14:textId="77777777" w:rsidR="00322655" w:rsidRPr="00D42A73" w:rsidRDefault="00322655" w:rsidP="007375C3">
            <w:pPr>
              <w:jc w:val="center"/>
              <w:rPr>
                <w:b/>
                <w:bCs/>
                <w:sz w:val="20"/>
                <w:szCs w:val="20"/>
              </w:rPr>
            </w:pPr>
            <w:r w:rsidRPr="00D42A73">
              <w:rPr>
                <w:b/>
                <w:bCs/>
                <w:sz w:val="20"/>
                <w:szCs w:val="20"/>
              </w:rPr>
              <w:t xml:space="preserve">Stanje ukupnih </w:t>
            </w:r>
          </w:p>
          <w:p w14:paraId="36AA7801" w14:textId="77777777" w:rsidR="00322655" w:rsidRPr="00D42A73" w:rsidRDefault="00322655" w:rsidP="007375C3">
            <w:pPr>
              <w:jc w:val="center"/>
              <w:rPr>
                <w:b/>
                <w:bCs/>
                <w:sz w:val="20"/>
                <w:szCs w:val="20"/>
              </w:rPr>
            </w:pPr>
            <w:r w:rsidRPr="00D42A73">
              <w:rPr>
                <w:b/>
                <w:bCs/>
                <w:sz w:val="20"/>
                <w:szCs w:val="20"/>
              </w:rPr>
              <w:t>potraživanja na</w:t>
            </w:r>
          </w:p>
          <w:p w14:paraId="44CA9F2C" w14:textId="77777777" w:rsidR="00322655" w:rsidRPr="00D42A73" w:rsidRDefault="00322655" w:rsidP="007375C3">
            <w:pPr>
              <w:jc w:val="center"/>
              <w:rPr>
                <w:b/>
                <w:bCs/>
                <w:sz w:val="20"/>
                <w:szCs w:val="20"/>
              </w:rPr>
            </w:pPr>
            <w:r w:rsidRPr="00D42A73">
              <w:rPr>
                <w:b/>
                <w:bCs/>
                <w:sz w:val="20"/>
                <w:szCs w:val="20"/>
              </w:rPr>
              <w:t>31.12.2021.</w:t>
            </w:r>
          </w:p>
        </w:tc>
      </w:tr>
      <w:tr w:rsidR="00322655" w:rsidRPr="00D42A73" w14:paraId="492F5B72" w14:textId="77777777" w:rsidTr="00B852EF">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E989" w14:textId="77777777" w:rsidR="00322655" w:rsidRPr="00D42A73" w:rsidRDefault="00322655" w:rsidP="007375C3">
            <w:pPr>
              <w:rPr>
                <w:sz w:val="20"/>
                <w:szCs w:val="20"/>
              </w:rPr>
            </w:pPr>
            <w:r w:rsidRPr="00D42A73">
              <w:rPr>
                <w:sz w:val="20"/>
                <w:szCs w:val="20"/>
              </w:rPr>
              <w:t>1.</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0A9FF77A" w14:textId="77777777" w:rsidR="00322655" w:rsidRPr="00D42A73" w:rsidRDefault="00322655" w:rsidP="007375C3">
            <w:pPr>
              <w:rPr>
                <w:sz w:val="20"/>
                <w:szCs w:val="20"/>
              </w:rPr>
            </w:pPr>
            <w:r w:rsidRPr="00D42A73">
              <w:rPr>
                <w:sz w:val="20"/>
                <w:szCs w:val="20"/>
              </w:rPr>
              <w:t>OPĆINA KRAPINSKE TOPLICE</w:t>
            </w:r>
          </w:p>
        </w:tc>
        <w:tc>
          <w:tcPr>
            <w:tcW w:w="4063" w:type="dxa"/>
            <w:tcBorders>
              <w:top w:val="single" w:sz="4" w:space="0" w:color="auto"/>
              <w:left w:val="nil"/>
              <w:bottom w:val="single" w:sz="4" w:space="0" w:color="auto"/>
              <w:right w:val="single" w:sz="4" w:space="0" w:color="auto"/>
            </w:tcBorders>
            <w:shd w:val="clear" w:color="auto" w:fill="auto"/>
            <w:noWrap/>
            <w:vAlign w:val="center"/>
          </w:tcPr>
          <w:p w14:paraId="35E5BA78" w14:textId="77777777" w:rsidR="00322655" w:rsidRPr="00D42A73" w:rsidRDefault="00322655" w:rsidP="007375C3">
            <w:pPr>
              <w:jc w:val="right"/>
              <w:rPr>
                <w:sz w:val="20"/>
                <w:szCs w:val="20"/>
              </w:rPr>
            </w:pPr>
            <w:r w:rsidRPr="00D42A73">
              <w:rPr>
                <w:sz w:val="20"/>
                <w:szCs w:val="20"/>
              </w:rPr>
              <w:t>40.600,70</w:t>
            </w:r>
          </w:p>
        </w:tc>
      </w:tr>
      <w:tr w:rsidR="00322655" w:rsidRPr="00D42A73" w14:paraId="5B7ECE47" w14:textId="77777777" w:rsidTr="00B852EF">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3F3B0" w14:textId="77777777" w:rsidR="00322655" w:rsidRPr="00D42A73" w:rsidRDefault="00322655" w:rsidP="007375C3">
            <w:pPr>
              <w:rPr>
                <w:sz w:val="20"/>
                <w:szCs w:val="20"/>
              </w:rPr>
            </w:pPr>
            <w:r w:rsidRPr="00D42A73">
              <w:rPr>
                <w:sz w:val="20"/>
                <w:szCs w:val="20"/>
              </w:rPr>
              <w:t>2.</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36388785" w14:textId="77777777" w:rsidR="00322655" w:rsidRPr="00D42A73" w:rsidRDefault="00322655" w:rsidP="007375C3">
            <w:pPr>
              <w:rPr>
                <w:sz w:val="20"/>
                <w:szCs w:val="20"/>
              </w:rPr>
            </w:pPr>
            <w:r w:rsidRPr="00D42A73">
              <w:rPr>
                <w:sz w:val="20"/>
                <w:szCs w:val="20"/>
              </w:rPr>
              <w:t>OPĆINA NOVIGRAD PODRAVSKI</w:t>
            </w:r>
          </w:p>
        </w:tc>
        <w:tc>
          <w:tcPr>
            <w:tcW w:w="4063" w:type="dxa"/>
            <w:tcBorders>
              <w:top w:val="single" w:sz="4" w:space="0" w:color="auto"/>
              <w:left w:val="nil"/>
              <w:bottom w:val="single" w:sz="4" w:space="0" w:color="auto"/>
              <w:right w:val="single" w:sz="4" w:space="0" w:color="auto"/>
            </w:tcBorders>
            <w:shd w:val="clear" w:color="auto" w:fill="auto"/>
            <w:noWrap/>
            <w:vAlign w:val="center"/>
          </w:tcPr>
          <w:p w14:paraId="31B3D854" w14:textId="77777777" w:rsidR="00322655" w:rsidRPr="00D42A73" w:rsidRDefault="00322655" w:rsidP="007375C3">
            <w:pPr>
              <w:jc w:val="right"/>
              <w:rPr>
                <w:sz w:val="20"/>
                <w:szCs w:val="20"/>
              </w:rPr>
            </w:pPr>
            <w:r w:rsidRPr="00D42A73">
              <w:rPr>
                <w:sz w:val="20"/>
                <w:szCs w:val="20"/>
              </w:rPr>
              <w:t>1.091.152,99</w:t>
            </w:r>
          </w:p>
        </w:tc>
      </w:tr>
      <w:tr w:rsidR="00322655" w:rsidRPr="002165A0" w14:paraId="1072D6D1" w14:textId="77777777" w:rsidTr="00B852EF">
        <w:trPr>
          <w:trHeight w:val="300"/>
          <w:jc w:val="center"/>
        </w:trPr>
        <w:tc>
          <w:tcPr>
            <w:tcW w:w="49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C69BD" w14:textId="77777777" w:rsidR="00322655" w:rsidRPr="00D42A73" w:rsidRDefault="00322655" w:rsidP="007375C3">
            <w:pPr>
              <w:rPr>
                <w:b/>
                <w:i/>
                <w:sz w:val="20"/>
                <w:szCs w:val="20"/>
              </w:rPr>
            </w:pPr>
            <w:r w:rsidRPr="00D42A73">
              <w:rPr>
                <w:i/>
                <w:sz w:val="20"/>
                <w:szCs w:val="20"/>
              </w:rPr>
              <w:t> </w:t>
            </w:r>
            <w:r w:rsidRPr="00D42A73">
              <w:rPr>
                <w:b/>
                <w:bCs/>
                <w:i/>
                <w:sz w:val="20"/>
                <w:szCs w:val="20"/>
              </w:rPr>
              <w:t>UKUPNO ZAJMOVI DRUGIM RAZINAMA VLASTI</w:t>
            </w:r>
          </w:p>
        </w:tc>
        <w:tc>
          <w:tcPr>
            <w:tcW w:w="4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13960" w14:textId="77777777" w:rsidR="00322655" w:rsidRPr="00D42A73" w:rsidRDefault="00322655" w:rsidP="007375C3">
            <w:pPr>
              <w:jc w:val="right"/>
              <w:rPr>
                <w:b/>
                <w:bCs/>
                <w:i/>
                <w:sz w:val="20"/>
                <w:szCs w:val="20"/>
              </w:rPr>
            </w:pPr>
            <w:r w:rsidRPr="00D42A73">
              <w:rPr>
                <w:b/>
                <w:bCs/>
                <w:i/>
                <w:sz w:val="20"/>
                <w:szCs w:val="20"/>
              </w:rPr>
              <w:t>1.131.753,69</w:t>
            </w:r>
          </w:p>
        </w:tc>
      </w:tr>
    </w:tbl>
    <w:p w14:paraId="104443F0" w14:textId="77777777" w:rsidR="00322655" w:rsidRPr="00C75BCC" w:rsidRDefault="00322655" w:rsidP="00322655">
      <w:pPr>
        <w:jc w:val="both"/>
      </w:pPr>
    </w:p>
    <w:p w14:paraId="02A9EE14" w14:textId="77777777" w:rsidR="00322655" w:rsidRPr="003B30B6" w:rsidRDefault="00322655" w:rsidP="00187157">
      <w:pPr>
        <w:jc w:val="both"/>
      </w:pPr>
    </w:p>
    <w:p w14:paraId="10F6E307" w14:textId="46E483D0" w:rsidR="00187157" w:rsidRPr="00C85DCC" w:rsidRDefault="00C85DCC" w:rsidP="00187157">
      <w:pPr>
        <w:keepNext/>
        <w:jc w:val="center"/>
        <w:rPr>
          <w:sz w:val="28"/>
        </w:rPr>
      </w:pPr>
      <w:r w:rsidRPr="00C85DCC">
        <w:rPr>
          <w:sz w:val="28"/>
        </w:rPr>
        <w:t>Bilješka 14</w:t>
      </w:r>
      <w:r w:rsidR="00187157" w:rsidRPr="00C85DCC">
        <w:rPr>
          <w:sz w:val="28"/>
        </w:rPr>
        <w:t>.</w:t>
      </w:r>
    </w:p>
    <w:p w14:paraId="6A703EF5" w14:textId="27D55909" w:rsidR="00187157" w:rsidRPr="00D42A73" w:rsidRDefault="00322655" w:rsidP="00187157">
      <w:pPr>
        <w:keepNext/>
        <w:jc w:val="center"/>
        <w:rPr>
          <w:sz w:val="28"/>
        </w:rPr>
      </w:pPr>
      <w:r w:rsidRPr="00D42A73">
        <w:rPr>
          <w:sz w:val="28"/>
        </w:rPr>
        <w:t>AOP 153</w:t>
      </w:r>
      <w:r w:rsidR="00187157" w:rsidRPr="00D42A73">
        <w:rPr>
          <w:sz w:val="28"/>
        </w:rPr>
        <w:t xml:space="preserve"> Potraživanja za prihode od imovine</w:t>
      </w:r>
    </w:p>
    <w:p w14:paraId="1DB68091" w14:textId="21A88327" w:rsidR="00322655" w:rsidRPr="00D42A73" w:rsidRDefault="00322655" w:rsidP="00322655">
      <w:pPr>
        <w:keepNext/>
      </w:pPr>
      <w:r w:rsidRPr="00D42A73">
        <w:t xml:space="preserve">Najznačajniji iznosi potraživanja za prihode od imovine </w:t>
      </w:r>
      <w:r w:rsidR="0053353D">
        <w:t xml:space="preserve">na dan 31. prosinca </w:t>
      </w:r>
      <w:r w:rsidRPr="00D42A73">
        <w:t xml:space="preserve">2021. godini odnose se na: </w:t>
      </w:r>
    </w:p>
    <w:p w14:paraId="27B8318B" w14:textId="5643DE40" w:rsidR="00322655" w:rsidRPr="00D42A73" w:rsidRDefault="00322655" w:rsidP="00AA16AA">
      <w:pPr>
        <w:keepNext/>
        <w:numPr>
          <w:ilvl w:val="0"/>
          <w:numId w:val="5"/>
        </w:numPr>
        <w:tabs>
          <w:tab w:val="decimal" w:pos="8820"/>
        </w:tabs>
      </w:pPr>
      <w:r w:rsidRPr="00D42A73">
        <w:t>potraživanja za zatezne kamate po danim zajmovima bivšeg Fonda za razvoj i zapošljavanje</w:t>
      </w:r>
      <w:r w:rsidR="00AA16AA">
        <w:t xml:space="preserve"> u iznosu od </w:t>
      </w:r>
      <w:r w:rsidRPr="00D42A73">
        <w:t>128.939.193,68</w:t>
      </w:r>
      <w:r w:rsidR="00AA16AA">
        <w:t xml:space="preserve"> kuna, </w:t>
      </w:r>
    </w:p>
    <w:p w14:paraId="2E4382F4" w14:textId="28E59ECA" w:rsidR="00322655" w:rsidRPr="00D42A73" w:rsidRDefault="00322655" w:rsidP="0053353D">
      <w:pPr>
        <w:keepNext/>
        <w:numPr>
          <w:ilvl w:val="0"/>
          <w:numId w:val="5"/>
        </w:numPr>
        <w:tabs>
          <w:tab w:val="clear" w:pos="720"/>
        </w:tabs>
      </w:pPr>
      <w:r w:rsidRPr="00D42A73">
        <w:t>potraživanja za kamate po danim zajmovima bivšeg Fonda za razvoj i zapošljavanje</w:t>
      </w:r>
      <w:r w:rsidR="0053353D">
        <w:t xml:space="preserve"> </w:t>
      </w:r>
      <w:r w:rsidRPr="00D42A73">
        <w:t xml:space="preserve">tuzemnim </w:t>
      </w:r>
      <w:r w:rsidR="00AA16AA">
        <w:t xml:space="preserve">trgovačkim društvima i obrtima u iznosu od </w:t>
      </w:r>
      <w:r w:rsidRPr="00D42A73">
        <w:t>68.377.321,09</w:t>
      </w:r>
      <w:r w:rsidR="00AA16AA">
        <w:t xml:space="preserve"> kuna, </w:t>
      </w:r>
    </w:p>
    <w:p w14:paraId="6F039BA3" w14:textId="72692507" w:rsidR="00322655" w:rsidRPr="00D42A73" w:rsidRDefault="00322655" w:rsidP="00322655">
      <w:pPr>
        <w:numPr>
          <w:ilvl w:val="0"/>
          <w:numId w:val="5"/>
        </w:numPr>
        <w:tabs>
          <w:tab w:val="decimal" w:pos="8820"/>
        </w:tabs>
      </w:pPr>
      <w:r w:rsidRPr="00D42A73">
        <w:t xml:space="preserve">evidentirano potraživanje od Republike </w:t>
      </w:r>
      <w:r w:rsidR="00AA16AA">
        <w:t>Sudan u iznosu od 204.003.489,85 kuna,</w:t>
      </w:r>
    </w:p>
    <w:p w14:paraId="7876A39D" w14:textId="0654BA3C" w:rsidR="00322655" w:rsidRPr="00D42A73" w:rsidRDefault="00322655" w:rsidP="0053353D">
      <w:pPr>
        <w:numPr>
          <w:ilvl w:val="0"/>
          <w:numId w:val="5"/>
        </w:numPr>
        <w:tabs>
          <w:tab w:val="decimal" w:pos="8820"/>
        </w:tabs>
      </w:pPr>
      <w:r w:rsidRPr="00D42A73">
        <w:t xml:space="preserve">potraživanja za prihode od kamata na dane zajmove po </w:t>
      </w:r>
      <w:r w:rsidR="00AA16AA">
        <w:t xml:space="preserve">protestiranim jamstvima u iznosu od </w:t>
      </w:r>
      <w:r w:rsidRPr="00D42A73">
        <w:t>825.556.621,28</w:t>
      </w:r>
      <w:r w:rsidR="00AA16AA">
        <w:t xml:space="preserve"> kuna.</w:t>
      </w:r>
    </w:p>
    <w:p w14:paraId="5AF2A759" w14:textId="26052C93" w:rsidR="00A050CB" w:rsidRPr="00C85DCC" w:rsidRDefault="00A050CB" w:rsidP="00A050CB">
      <w:pPr>
        <w:keepNext/>
        <w:jc w:val="center"/>
        <w:rPr>
          <w:sz w:val="28"/>
        </w:rPr>
      </w:pPr>
      <w:r w:rsidRPr="00C85DCC">
        <w:rPr>
          <w:sz w:val="28"/>
        </w:rPr>
        <w:t>Bilješka</w:t>
      </w:r>
      <w:r w:rsidR="00C85DCC" w:rsidRPr="00C85DCC">
        <w:rPr>
          <w:sz w:val="28"/>
        </w:rPr>
        <w:t xml:space="preserve"> 15.</w:t>
      </w:r>
    </w:p>
    <w:p w14:paraId="11697CF5" w14:textId="4B38ADC5" w:rsidR="00A050CB" w:rsidRPr="00D42A73" w:rsidRDefault="00A050CB" w:rsidP="00D42A73">
      <w:pPr>
        <w:keepNext/>
        <w:jc w:val="center"/>
        <w:rPr>
          <w:sz w:val="28"/>
        </w:rPr>
      </w:pPr>
      <w:r w:rsidRPr="00D42A73">
        <w:rPr>
          <w:sz w:val="28"/>
        </w:rPr>
        <w:t>AOP 15</w:t>
      </w:r>
      <w:r w:rsidR="004127FA">
        <w:rPr>
          <w:sz w:val="28"/>
        </w:rPr>
        <w:t>4</w:t>
      </w:r>
      <w:r w:rsidRPr="00D42A73">
        <w:rPr>
          <w:sz w:val="28"/>
        </w:rPr>
        <w:t xml:space="preserve"> Potraživanja za upravne i administrativne pristojbe, pristojbe po posebnim propisima i naknade</w:t>
      </w:r>
    </w:p>
    <w:p w14:paraId="40CA9398" w14:textId="058DC002" w:rsidR="00A050CB" w:rsidRPr="00D42A73" w:rsidRDefault="00A050CB" w:rsidP="00A050CB">
      <w:pPr>
        <w:keepNext/>
        <w:jc w:val="both"/>
      </w:pPr>
      <w:r w:rsidRPr="00D42A73">
        <w:t>Potraživanja za upravne i administrativne pristojbe, pristojbe po posebnim propisima i naknade na dan 31. prosinca 202</w:t>
      </w:r>
      <w:r w:rsidR="00C02F15">
        <w:t>1 godine iznose 45.</w:t>
      </w:r>
      <w:r w:rsidR="00CB7DBB">
        <w:t>748.723 kuna</w:t>
      </w:r>
      <w:r w:rsidRPr="00D42A73">
        <w:t xml:space="preserve"> što predstavlja promjenu u odnosu na stanje 1. siječnja 2021. za 9.192,2%. Neznačajni dio navedenih potraživanja odnosi se na potraživanja za naknade</w:t>
      </w:r>
      <w:r w:rsidR="00CB7DBB">
        <w:t xml:space="preserve"> za izdana jamstva na dan 31. prosinca </w:t>
      </w:r>
      <w:r w:rsidRPr="00D42A73">
        <w:t>2021. godine čiji je pregled dan u Tabl</w:t>
      </w:r>
      <w:r w:rsidR="00F44758">
        <w:t>ici u iznosu od 45.256.386,87 kuna</w:t>
      </w:r>
      <w:r w:rsidRPr="00D42A73">
        <w:t>.</w:t>
      </w:r>
    </w:p>
    <w:p w14:paraId="368D01B1" w14:textId="77777777" w:rsidR="00A050CB" w:rsidRPr="00D42A73" w:rsidRDefault="00A050CB" w:rsidP="00A050CB"/>
    <w:p w14:paraId="5A86A41D" w14:textId="68006806" w:rsidR="00A050CB" w:rsidRPr="00D42A73" w:rsidRDefault="00A050CB" w:rsidP="00A050CB">
      <w:pPr>
        <w:keepNext/>
        <w:jc w:val="both"/>
        <w:rPr>
          <w:b/>
          <w:sz w:val="20"/>
          <w:szCs w:val="20"/>
        </w:rPr>
      </w:pPr>
      <w:r w:rsidRPr="00D42A73">
        <w:rPr>
          <w:b/>
          <w:color w:val="FF0000"/>
          <w:sz w:val="20"/>
          <w:szCs w:val="20"/>
        </w:rPr>
        <w:tab/>
      </w:r>
      <w:r w:rsidR="00A654F7">
        <w:rPr>
          <w:b/>
          <w:sz w:val="20"/>
          <w:szCs w:val="20"/>
        </w:rPr>
        <w:t>Tablica 5</w:t>
      </w:r>
      <w:r w:rsidRPr="00D42A73">
        <w:rPr>
          <w:b/>
          <w:sz w:val="20"/>
          <w:szCs w:val="20"/>
        </w:rPr>
        <w:t>.</w:t>
      </w:r>
    </w:p>
    <w:tbl>
      <w:tblPr>
        <w:tblW w:w="8580" w:type="dxa"/>
        <w:jc w:val="center"/>
        <w:tblLook w:val="04A0" w:firstRow="1" w:lastRow="0" w:firstColumn="1" w:lastColumn="0" w:noHBand="0" w:noVBand="1"/>
      </w:tblPr>
      <w:tblGrid>
        <w:gridCol w:w="978"/>
        <w:gridCol w:w="4786"/>
        <w:gridCol w:w="2816"/>
      </w:tblGrid>
      <w:tr w:rsidR="00A050CB" w:rsidRPr="007F2D4C" w14:paraId="2F1817B7" w14:textId="77777777" w:rsidTr="007375C3">
        <w:trPr>
          <w:trHeight w:val="510"/>
          <w:jc w:val="center"/>
        </w:trPr>
        <w:tc>
          <w:tcPr>
            <w:tcW w:w="9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52CAF1" w14:textId="77777777" w:rsidR="00A050CB" w:rsidRPr="007F2D4C" w:rsidRDefault="00A050CB" w:rsidP="007375C3">
            <w:pPr>
              <w:keepNext/>
              <w:jc w:val="center"/>
              <w:rPr>
                <w:b/>
                <w:bCs/>
                <w:sz w:val="20"/>
                <w:szCs w:val="20"/>
              </w:rPr>
            </w:pPr>
            <w:r w:rsidRPr="007F2D4C">
              <w:rPr>
                <w:b/>
                <w:bCs/>
                <w:sz w:val="20"/>
                <w:szCs w:val="20"/>
              </w:rPr>
              <w:t>Red. broj</w:t>
            </w:r>
          </w:p>
        </w:tc>
        <w:tc>
          <w:tcPr>
            <w:tcW w:w="4786" w:type="dxa"/>
            <w:tcBorders>
              <w:top w:val="single" w:sz="8" w:space="0" w:color="auto"/>
              <w:left w:val="nil"/>
              <w:bottom w:val="single" w:sz="4" w:space="0" w:color="auto"/>
              <w:right w:val="single" w:sz="4" w:space="0" w:color="auto"/>
            </w:tcBorders>
            <w:shd w:val="clear" w:color="auto" w:fill="auto"/>
            <w:noWrap/>
            <w:vAlign w:val="center"/>
            <w:hideMark/>
          </w:tcPr>
          <w:p w14:paraId="55407AA8" w14:textId="77777777" w:rsidR="00A050CB" w:rsidRPr="007F2D4C" w:rsidRDefault="00A050CB" w:rsidP="007375C3">
            <w:pPr>
              <w:keepNext/>
              <w:jc w:val="center"/>
              <w:rPr>
                <w:b/>
                <w:bCs/>
                <w:sz w:val="20"/>
                <w:szCs w:val="20"/>
              </w:rPr>
            </w:pPr>
            <w:r w:rsidRPr="007F2D4C">
              <w:rPr>
                <w:b/>
                <w:bCs/>
                <w:sz w:val="20"/>
                <w:szCs w:val="20"/>
              </w:rPr>
              <w:t>Dužnik</w:t>
            </w:r>
          </w:p>
        </w:tc>
        <w:tc>
          <w:tcPr>
            <w:tcW w:w="2816" w:type="dxa"/>
            <w:tcBorders>
              <w:top w:val="single" w:sz="8" w:space="0" w:color="auto"/>
              <w:left w:val="nil"/>
              <w:bottom w:val="single" w:sz="4" w:space="0" w:color="auto"/>
              <w:right w:val="single" w:sz="4" w:space="0" w:color="auto"/>
            </w:tcBorders>
            <w:shd w:val="clear" w:color="auto" w:fill="auto"/>
            <w:vAlign w:val="center"/>
            <w:hideMark/>
          </w:tcPr>
          <w:p w14:paraId="25AE69A8" w14:textId="77777777" w:rsidR="00A050CB" w:rsidRPr="007F2D4C" w:rsidRDefault="00A050CB" w:rsidP="007375C3">
            <w:pPr>
              <w:keepNext/>
              <w:jc w:val="center"/>
              <w:rPr>
                <w:b/>
                <w:bCs/>
                <w:sz w:val="20"/>
                <w:szCs w:val="20"/>
              </w:rPr>
            </w:pPr>
            <w:r w:rsidRPr="007F2D4C">
              <w:rPr>
                <w:b/>
                <w:bCs/>
                <w:sz w:val="20"/>
                <w:szCs w:val="20"/>
              </w:rPr>
              <w:t>Stanje ukupnih potraživanja na 31.12.2021.</w:t>
            </w:r>
          </w:p>
        </w:tc>
      </w:tr>
      <w:tr w:rsidR="00A050CB" w:rsidRPr="007F2D4C" w14:paraId="29148A80" w14:textId="77777777" w:rsidTr="007375C3">
        <w:trPr>
          <w:trHeight w:val="278"/>
          <w:jc w:val="center"/>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A529E79" w14:textId="77777777" w:rsidR="00A050CB" w:rsidRPr="007F2D4C" w:rsidRDefault="00A050CB" w:rsidP="007375C3">
            <w:pPr>
              <w:keepNext/>
              <w:jc w:val="center"/>
              <w:rPr>
                <w:sz w:val="20"/>
                <w:szCs w:val="20"/>
              </w:rPr>
            </w:pPr>
            <w:r w:rsidRPr="007F2D4C">
              <w:rPr>
                <w:sz w:val="20"/>
                <w:szCs w:val="20"/>
              </w:rPr>
              <w:t>1.</w:t>
            </w:r>
          </w:p>
        </w:tc>
        <w:tc>
          <w:tcPr>
            <w:tcW w:w="4786" w:type="dxa"/>
            <w:tcBorders>
              <w:top w:val="nil"/>
              <w:left w:val="nil"/>
              <w:bottom w:val="single" w:sz="4" w:space="0" w:color="auto"/>
              <w:right w:val="single" w:sz="4" w:space="0" w:color="auto"/>
            </w:tcBorders>
            <w:shd w:val="clear" w:color="auto" w:fill="auto"/>
            <w:noWrap/>
            <w:vAlign w:val="center"/>
            <w:hideMark/>
          </w:tcPr>
          <w:p w14:paraId="5E965D60" w14:textId="77777777" w:rsidR="00A050CB" w:rsidRPr="007F2D4C" w:rsidRDefault="00A050CB" w:rsidP="007375C3">
            <w:pPr>
              <w:rPr>
                <w:sz w:val="20"/>
                <w:szCs w:val="20"/>
              </w:rPr>
            </w:pPr>
            <w:r w:rsidRPr="007F2D4C">
              <w:rPr>
                <w:sz w:val="20"/>
                <w:szCs w:val="20"/>
              </w:rPr>
              <w:t>GRAD VRBOVEC</w:t>
            </w:r>
          </w:p>
        </w:tc>
        <w:tc>
          <w:tcPr>
            <w:tcW w:w="2816" w:type="dxa"/>
            <w:tcBorders>
              <w:top w:val="single" w:sz="4" w:space="0" w:color="auto"/>
              <w:left w:val="nil"/>
              <w:bottom w:val="single" w:sz="4" w:space="0" w:color="auto"/>
              <w:right w:val="single" w:sz="4" w:space="0" w:color="auto"/>
            </w:tcBorders>
            <w:shd w:val="clear" w:color="auto" w:fill="auto"/>
            <w:noWrap/>
            <w:vAlign w:val="center"/>
            <w:hideMark/>
          </w:tcPr>
          <w:p w14:paraId="49890869" w14:textId="77777777" w:rsidR="00A050CB" w:rsidRPr="007F2D4C" w:rsidRDefault="00A050CB" w:rsidP="007375C3">
            <w:pPr>
              <w:jc w:val="right"/>
              <w:rPr>
                <w:sz w:val="20"/>
                <w:szCs w:val="20"/>
              </w:rPr>
            </w:pPr>
            <w:r w:rsidRPr="007F2D4C">
              <w:rPr>
                <w:sz w:val="20"/>
                <w:szCs w:val="20"/>
              </w:rPr>
              <w:t>0,00</w:t>
            </w:r>
          </w:p>
        </w:tc>
      </w:tr>
      <w:tr w:rsidR="00A050CB" w:rsidRPr="007F2D4C" w14:paraId="192C0C0F"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41208A0" w14:textId="77777777" w:rsidR="00A050CB" w:rsidRPr="007F2D4C" w:rsidRDefault="00A050CB" w:rsidP="007375C3">
            <w:pPr>
              <w:jc w:val="center"/>
              <w:rPr>
                <w:sz w:val="20"/>
                <w:szCs w:val="20"/>
              </w:rPr>
            </w:pPr>
            <w:r w:rsidRPr="007F2D4C">
              <w:rPr>
                <w:sz w:val="20"/>
                <w:szCs w:val="20"/>
              </w:rPr>
              <w:t>2.</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12E1977A" w14:textId="77777777" w:rsidR="00A050CB" w:rsidRPr="007F2D4C" w:rsidRDefault="00A050CB" w:rsidP="007375C3">
            <w:pPr>
              <w:rPr>
                <w:sz w:val="20"/>
                <w:szCs w:val="20"/>
              </w:rPr>
            </w:pPr>
            <w:r w:rsidRPr="007F2D4C">
              <w:rPr>
                <w:sz w:val="20"/>
                <w:szCs w:val="20"/>
              </w:rPr>
              <w:t>ZRAČNA LUKA OSIJEK</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737CE362" w14:textId="77777777" w:rsidR="00A050CB" w:rsidRPr="007F2D4C" w:rsidRDefault="00A050CB" w:rsidP="007375C3">
            <w:pPr>
              <w:jc w:val="right"/>
              <w:rPr>
                <w:sz w:val="20"/>
                <w:szCs w:val="20"/>
              </w:rPr>
            </w:pPr>
            <w:r w:rsidRPr="007F2D4C">
              <w:rPr>
                <w:sz w:val="20"/>
                <w:szCs w:val="20"/>
              </w:rPr>
              <w:t>22.000,00</w:t>
            </w:r>
          </w:p>
        </w:tc>
      </w:tr>
      <w:tr w:rsidR="00A050CB" w:rsidRPr="007F2D4C" w14:paraId="4A09288D"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9D74CD4" w14:textId="77777777" w:rsidR="00A050CB" w:rsidRPr="007F2D4C" w:rsidRDefault="00A050CB" w:rsidP="007375C3">
            <w:pPr>
              <w:jc w:val="center"/>
              <w:rPr>
                <w:sz w:val="20"/>
                <w:szCs w:val="20"/>
              </w:rPr>
            </w:pPr>
            <w:r w:rsidRPr="007F2D4C">
              <w:rPr>
                <w:sz w:val="20"/>
                <w:szCs w:val="20"/>
              </w:rPr>
              <w:t>3.</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63AB2F64" w14:textId="77777777" w:rsidR="00A050CB" w:rsidRPr="007F2D4C" w:rsidRDefault="00A050CB" w:rsidP="007375C3">
            <w:pPr>
              <w:rPr>
                <w:sz w:val="20"/>
                <w:szCs w:val="20"/>
              </w:rPr>
            </w:pPr>
            <w:r w:rsidRPr="007F2D4C">
              <w:rPr>
                <w:sz w:val="20"/>
                <w:szCs w:val="20"/>
              </w:rPr>
              <w:t>3. MAJ BRODOGRADILIŠTE D.D.</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3945E905" w14:textId="77777777" w:rsidR="00A050CB" w:rsidRPr="007F2D4C" w:rsidRDefault="00A050CB" w:rsidP="007375C3">
            <w:pPr>
              <w:jc w:val="right"/>
              <w:rPr>
                <w:sz w:val="20"/>
                <w:szCs w:val="20"/>
              </w:rPr>
            </w:pPr>
            <w:r w:rsidRPr="007F2D4C">
              <w:rPr>
                <w:sz w:val="20"/>
                <w:szCs w:val="20"/>
              </w:rPr>
              <w:t>1.888.360,65</w:t>
            </w:r>
          </w:p>
        </w:tc>
      </w:tr>
      <w:tr w:rsidR="00A050CB" w:rsidRPr="007F2D4C" w14:paraId="0FBDE001"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C658ADA" w14:textId="77777777" w:rsidR="00A050CB" w:rsidRPr="007F2D4C" w:rsidRDefault="00A050CB" w:rsidP="007375C3">
            <w:pPr>
              <w:jc w:val="center"/>
              <w:rPr>
                <w:sz w:val="20"/>
                <w:szCs w:val="20"/>
              </w:rPr>
            </w:pPr>
            <w:r w:rsidRPr="007F2D4C">
              <w:rPr>
                <w:sz w:val="20"/>
                <w:szCs w:val="20"/>
              </w:rPr>
              <w:t>4.</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3E8CC109" w14:textId="77777777" w:rsidR="00A050CB" w:rsidRPr="007F2D4C" w:rsidRDefault="00A050CB" w:rsidP="007375C3">
            <w:pPr>
              <w:rPr>
                <w:sz w:val="20"/>
                <w:szCs w:val="20"/>
              </w:rPr>
            </w:pPr>
            <w:r w:rsidRPr="007F2D4C">
              <w:rPr>
                <w:sz w:val="20"/>
                <w:szCs w:val="20"/>
              </w:rPr>
              <w:t>JADROPLOV D.D.</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38D64911" w14:textId="77777777" w:rsidR="00A050CB" w:rsidRPr="007F2D4C" w:rsidRDefault="00A050CB" w:rsidP="007375C3">
            <w:pPr>
              <w:jc w:val="right"/>
              <w:rPr>
                <w:sz w:val="20"/>
                <w:szCs w:val="20"/>
              </w:rPr>
            </w:pPr>
            <w:r w:rsidRPr="007F2D4C">
              <w:rPr>
                <w:sz w:val="20"/>
                <w:szCs w:val="20"/>
              </w:rPr>
              <w:t>570.000,00</w:t>
            </w:r>
          </w:p>
        </w:tc>
      </w:tr>
      <w:tr w:rsidR="00A050CB" w:rsidRPr="007F2D4C" w14:paraId="581434B8"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2473D24" w14:textId="77777777" w:rsidR="00A050CB" w:rsidRPr="007F2D4C" w:rsidRDefault="00A050CB" w:rsidP="007375C3">
            <w:pPr>
              <w:jc w:val="center"/>
              <w:rPr>
                <w:sz w:val="20"/>
                <w:szCs w:val="20"/>
              </w:rPr>
            </w:pPr>
            <w:r w:rsidRPr="007F2D4C">
              <w:rPr>
                <w:sz w:val="20"/>
                <w:szCs w:val="20"/>
              </w:rPr>
              <w:t>5.</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2013917" w14:textId="77777777" w:rsidR="00A050CB" w:rsidRPr="007F2D4C" w:rsidRDefault="00A050CB" w:rsidP="007375C3">
            <w:pPr>
              <w:rPr>
                <w:sz w:val="20"/>
                <w:szCs w:val="20"/>
              </w:rPr>
            </w:pPr>
            <w:r w:rsidRPr="007F2D4C">
              <w:rPr>
                <w:sz w:val="20"/>
                <w:szCs w:val="20"/>
              </w:rPr>
              <w:t>ĐURO ĐAKOVIĆ GRUPA</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03F7E4E1" w14:textId="77777777" w:rsidR="00A050CB" w:rsidRPr="007F2D4C" w:rsidRDefault="00A050CB" w:rsidP="007375C3">
            <w:pPr>
              <w:jc w:val="right"/>
              <w:rPr>
                <w:sz w:val="20"/>
                <w:szCs w:val="20"/>
              </w:rPr>
            </w:pPr>
            <w:r w:rsidRPr="007F2D4C">
              <w:rPr>
                <w:sz w:val="20"/>
                <w:szCs w:val="20"/>
              </w:rPr>
              <w:t>2.975.411,86</w:t>
            </w:r>
          </w:p>
        </w:tc>
      </w:tr>
      <w:tr w:rsidR="00A050CB" w:rsidRPr="007F2D4C" w14:paraId="580C6827"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A3756C5" w14:textId="77777777" w:rsidR="00A050CB" w:rsidRPr="007F2D4C" w:rsidRDefault="00A050CB" w:rsidP="007375C3">
            <w:pPr>
              <w:jc w:val="center"/>
              <w:rPr>
                <w:sz w:val="20"/>
                <w:szCs w:val="20"/>
              </w:rPr>
            </w:pPr>
            <w:r w:rsidRPr="007F2D4C">
              <w:rPr>
                <w:sz w:val="20"/>
                <w:szCs w:val="20"/>
              </w:rPr>
              <w:t>6.</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58087AB6" w14:textId="77777777" w:rsidR="00A050CB" w:rsidRPr="007F2D4C" w:rsidRDefault="00A050CB" w:rsidP="007375C3">
            <w:pPr>
              <w:rPr>
                <w:sz w:val="20"/>
                <w:szCs w:val="20"/>
              </w:rPr>
            </w:pPr>
            <w:r w:rsidRPr="007F2D4C">
              <w:rPr>
                <w:sz w:val="20"/>
                <w:szCs w:val="20"/>
              </w:rPr>
              <w:t>HŽ PUTNIČKI PRIJEVOZ D.O.O.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58588C54" w14:textId="77777777" w:rsidR="00A050CB" w:rsidRPr="007F2D4C" w:rsidRDefault="00A050CB" w:rsidP="007375C3">
            <w:pPr>
              <w:jc w:val="right"/>
              <w:rPr>
                <w:sz w:val="20"/>
                <w:szCs w:val="20"/>
              </w:rPr>
            </w:pPr>
            <w:r w:rsidRPr="007F2D4C">
              <w:rPr>
                <w:sz w:val="20"/>
                <w:szCs w:val="20"/>
              </w:rPr>
              <w:t>0,00</w:t>
            </w:r>
          </w:p>
        </w:tc>
      </w:tr>
      <w:tr w:rsidR="00A050CB" w:rsidRPr="007F2D4C" w14:paraId="510F5FE3"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F0480BF" w14:textId="77777777" w:rsidR="00A050CB" w:rsidRPr="007F2D4C" w:rsidRDefault="00A050CB" w:rsidP="007375C3">
            <w:pPr>
              <w:jc w:val="center"/>
              <w:rPr>
                <w:sz w:val="20"/>
                <w:szCs w:val="20"/>
              </w:rPr>
            </w:pPr>
            <w:r w:rsidRPr="007F2D4C">
              <w:rPr>
                <w:sz w:val="20"/>
                <w:szCs w:val="20"/>
              </w:rPr>
              <w:t>7.</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1ACC24C3" w14:textId="77777777" w:rsidR="00A050CB" w:rsidRPr="007F2D4C" w:rsidRDefault="00A050CB" w:rsidP="007375C3">
            <w:pPr>
              <w:rPr>
                <w:sz w:val="20"/>
                <w:szCs w:val="20"/>
              </w:rPr>
            </w:pPr>
            <w:r w:rsidRPr="007F2D4C">
              <w:rPr>
                <w:sz w:val="20"/>
                <w:szCs w:val="20"/>
              </w:rPr>
              <w:t>BRODOGRAĐEVNA INDUSTRIJA SPLIT D.D.</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24AB0C9B" w14:textId="77777777" w:rsidR="00A050CB" w:rsidRPr="007F2D4C" w:rsidRDefault="00A050CB" w:rsidP="007375C3">
            <w:pPr>
              <w:jc w:val="right"/>
              <w:rPr>
                <w:sz w:val="20"/>
                <w:szCs w:val="20"/>
              </w:rPr>
            </w:pPr>
            <w:r w:rsidRPr="007F2D4C">
              <w:rPr>
                <w:sz w:val="20"/>
                <w:szCs w:val="20"/>
              </w:rPr>
              <w:t>918.423,44</w:t>
            </w:r>
          </w:p>
        </w:tc>
      </w:tr>
      <w:tr w:rsidR="00A050CB" w:rsidRPr="007F2D4C" w14:paraId="0D7798A7"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5DE6F8A" w14:textId="77777777" w:rsidR="00A050CB" w:rsidRPr="007F2D4C" w:rsidRDefault="00A050CB" w:rsidP="007375C3">
            <w:pPr>
              <w:jc w:val="center"/>
              <w:rPr>
                <w:sz w:val="20"/>
                <w:szCs w:val="20"/>
              </w:rPr>
            </w:pPr>
            <w:r w:rsidRPr="007F2D4C">
              <w:rPr>
                <w:sz w:val="20"/>
                <w:szCs w:val="20"/>
              </w:rPr>
              <w:t>8.</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5169E66F" w14:textId="77777777" w:rsidR="00A050CB" w:rsidRPr="007F2D4C" w:rsidRDefault="00A050CB" w:rsidP="007375C3">
            <w:pPr>
              <w:rPr>
                <w:sz w:val="20"/>
                <w:szCs w:val="20"/>
              </w:rPr>
            </w:pPr>
            <w:r w:rsidRPr="007F2D4C">
              <w:rPr>
                <w:sz w:val="20"/>
                <w:szCs w:val="20"/>
              </w:rPr>
              <w:t>ULJANIK BRODOGRADNJA 1856 D.O.O.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6BA2057" w14:textId="77777777" w:rsidR="00A050CB" w:rsidRPr="007F2D4C" w:rsidRDefault="00A050CB" w:rsidP="007375C3">
            <w:pPr>
              <w:jc w:val="right"/>
              <w:rPr>
                <w:sz w:val="20"/>
                <w:szCs w:val="20"/>
              </w:rPr>
            </w:pPr>
            <w:r w:rsidRPr="007F2D4C">
              <w:rPr>
                <w:sz w:val="20"/>
                <w:szCs w:val="20"/>
              </w:rPr>
              <w:t>39.577,38</w:t>
            </w:r>
          </w:p>
        </w:tc>
      </w:tr>
      <w:tr w:rsidR="00A050CB" w:rsidRPr="007F2D4C" w14:paraId="5FD79231"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027F97D" w14:textId="77777777" w:rsidR="00A050CB" w:rsidRPr="007F2D4C" w:rsidRDefault="00A050CB" w:rsidP="007375C3">
            <w:pPr>
              <w:jc w:val="center"/>
              <w:rPr>
                <w:sz w:val="20"/>
                <w:szCs w:val="20"/>
              </w:rPr>
            </w:pPr>
            <w:r w:rsidRPr="007F2D4C">
              <w:rPr>
                <w:sz w:val="20"/>
                <w:szCs w:val="20"/>
              </w:rPr>
              <w:lastRenderedPageBreak/>
              <w:t>9.</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589AFA70" w14:textId="77777777" w:rsidR="00A050CB" w:rsidRPr="007F2D4C" w:rsidRDefault="00A050CB" w:rsidP="007375C3">
            <w:pPr>
              <w:rPr>
                <w:sz w:val="20"/>
                <w:szCs w:val="20"/>
              </w:rPr>
            </w:pPr>
            <w:r w:rsidRPr="007F2D4C">
              <w:rPr>
                <w:sz w:val="20"/>
                <w:szCs w:val="20"/>
              </w:rPr>
              <w:t>MKM YACHTS D.O.O.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4C868636" w14:textId="77777777" w:rsidR="00A050CB" w:rsidRPr="007F2D4C" w:rsidRDefault="00A050CB" w:rsidP="007375C3">
            <w:pPr>
              <w:jc w:val="right"/>
              <w:rPr>
                <w:sz w:val="20"/>
                <w:szCs w:val="20"/>
              </w:rPr>
            </w:pPr>
            <w:r w:rsidRPr="007F2D4C">
              <w:rPr>
                <w:sz w:val="20"/>
                <w:szCs w:val="20"/>
              </w:rPr>
              <w:t>373.052,01</w:t>
            </w:r>
          </w:p>
        </w:tc>
      </w:tr>
      <w:tr w:rsidR="00A050CB" w:rsidRPr="007F2D4C" w14:paraId="2C70A7E8"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105410" w14:textId="77777777" w:rsidR="00A050CB" w:rsidRPr="007F2D4C" w:rsidRDefault="00A050CB" w:rsidP="007375C3">
            <w:pPr>
              <w:jc w:val="center"/>
              <w:rPr>
                <w:sz w:val="20"/>
                <w:szCs w:val="20"/>
              </w:rPr>
            </w:pPr>
            <w:r w:rsidRPr="007F2D4C">
              <w:rPr>
                <w:sz w:val="20"/>
                <w:szCs w:val="20"/>
              </w:rPr>
              <w:t>10.</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4975EA17" w14:textId="77777777" w:rsidR="00A050CB" w:rsidRPr="007F2D4C" w:rsidRDefault="00A050CB" w:rsidP="007375C3">
            <w:pPr>
              <w:rPr>
                <w:sz w:val="20"/>
                <w:szCs w:val="20"/>
              </w:rPr>
            </w:pPr>
            <w:r w:rsidRPr="007F2D4C">
              <w:rPr>
                <w:sz w:val="20"/>
                <w:szCs w:val="20"/>
              </w:rPr>
              <w:t>LUČKA UPRAVA SLAVONSKI BROD</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4BA24CFF" w14:textId="77777777" w:rsidR="00A050CB" w:rsidRPr="007F2D4C" w:rsidRDefault="00A050CB" w:rsidP="007375C3">
            <w:pPr>
              <w:jc w:val="right"/>
              <w:rPr>
                <w:sz w:val="20"/>
                <w:szCs w:val="20"/>
              </w:rPr>
            </w:pPr>
            <w:r w:rsidRPr="007F2D4C">
              <w:rPr>
                <w:sz w:val="20"/>
                <w:szCs w:val="20"/>
              </w:rPr>
              <w:t>0,00</w:t>
            </w:r>
          </w:p>
        </w:tc>
      </w:tr>
      <w:tr w:rsidR="00A050CB" w:rsidRPr="007F2D4C" w14:paraId="65A2E2CA"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8E63DE1" w14:textId="77777777" w:rsidR="00A050CB" w:rsidRPr="007F2D4C" w:rsidRDefault="00A050CB" w:rsidP="007375C3">
            <w:pPr>
              <w:jc w:val="center"/>
              <w:rPr>
                <w:sz w:val="20"/>
                <w:szCs w:val="20"/>
              </w:rPr>
            </w:pPr>
            <w:r w:rsidRPr="007F2D4C">
              <w:rPr>
                <w:sz w:val="20"/>
                <w:szCs w:val="20"/>
              </w:rPr>
              <w:t>11.</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33E0CF55" w14:textId="77777777" w:rsidR="00A050CB" w:rsidRPr="007F2D4C" w:rsidRDefault="00A050CB" w:rsidP="007375C3">
            <w:pPr>
              <w:rPr>
                <w:sz w:val="20"/>
                <w:szCs w:val="20"/>
              </w:rPr>
            </w:pPr>
            <w:r w:rsidRPr="007F2D4C">
              <w:rPr>
                <w:sz w:val="20"/>
                <w:szCs w:val="20"/>
              </w:rPr>
              <w:t>ULJANIK BRODOGRADILIŠTE D.D. U STEČAJU</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527ECD9D" w14:textId="77777777" w:rsidR="00A050CB" w:rsidRPr="007F2D4C" w:rsidRDefault="00A050CB" w:rsidP="007375C3">
            <w:pPr>
              <w:jc w:val="right"/>
              <w:rPr>
                <w:sz w:val="20"/>
                <w:szCs w:val="20"/>
              </w:rPr>
            </w:pPr>
            <w:r w:rsidRPr="007F2D4C">
              <w:rPr>
                <w:sz w:val="20"/>
                <w:szCs w:val="20"/>
              </w:rPr>
              <w:t>838.984,22</w:t>
            </w:r>
          </w:p>
        </w:tc>
      </w:tr>
      <w:tr w:rsidR="00A050CB" w:rsidRPr="007F2D4C" w14:paraId="60B56B7B"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4E348A8" w14:textId="77777777" w:rsidR="00A050CB" w:rsidRPr="007F2D4C" w:rsidRDefault="00A050CB" w:rsidP="007375C3">
            <w:pPr>
              <w:jc w:val="center"/>
              <w:rPr>
                <w:sz w:val="20"/>
                <w:szCs w:val="20"/>
              </w:rPr>
            </w:pPr>
            <w:r w:rsidRPr="007F2D4C">
              <w:rPr>
                <w:sz w:val="20"/>
                <w:szCs w:val="20"/>
              </w:rPr>
              <w:t>12.</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E6736BE" w14:textId="77777777" w:rsidR="00A050CB" w:rsidRPr="007F2D4C" w:rsidRDefault="00A050CB" w:rsidP="007375C3">
            <w:pPr>
              <w:rPr>
                <w:sz w:val="20"/>
                <w:szCs w:val="20"/>
              </w:rPr>
            </w:pPr>
            <w:r w:rsidRPr="007F2D4C">
              <w:rPr>
                <w:sz w:val="20"/>
                <w:szCs w:val="20"/>
              </w:rPr>
              <w:t>ULJANIK D.D. U STEČAJU</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28ABC51B" w14:textId="77777777" w:rsidR="00A050CB" w:rsidRPr="007F2D4C" w:rsidRDefault="00A050CB" w:rsidP="007375C3">
            <w:pPr>
              <w:jc w:val="right"/>
              <w:rPr>
                <w:sz w:val="20"/>
                <w:szCs w:val="20"/>
              </w:rPr>
            </w:pPr>
            <w:r w:rsidRPr="007F2D4C">
              <w:rPr>
                <w:sz w:val="20"/>
                <w:szCs w:val="20"/>
              </w:rPr>
              <w:t>37.630.577,31</w:t>
            </w:r>
          </w:p>
        </w:tc>
      </w:tr>
      <w:tr w:rsidR="00A050CB" w:rsidRPr="007F2D4C" w14:paraId="73599C3D" w14:textId="77777777" w:rsidTr="007375C3">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AE9433F" w14:textId="77777777" w:rsidR="00A050CB" w:rsidRPr="007F2D4C" w:rsidRDefault="00A050CB" w:rsidP="007375C3">
            <w:pPr>
              <w:jc w:val="center"/>
              <w:rPr>
                <w:sz w:val="20"/>
                <w:szCs w:val="20"/>
              </w:rPr>
            </w:pP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51C5A180" w14:textId="77777777" w:rsidR="00A050CB" w:rsidRPr="007F2D4C" w:rsidRDefault="00A050CB" w:rsidP="007375C3">
            <w:pPr>
              <w:rPr>
                <w:b/>
                <w:sz w:val="20"/>
                <w:szCs w:val="20"/>
              </w:rPr>
            </w:pPr>
            <w:r w:rsidRPr="007F2D4C">
              <w:rPr>
                <w:b/>
                <w:sz w:val="20"/>
                <w:szCs w:val="20"/>
              </w:rPr>
              <w:t>UKUPNO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25D18EA2" w14:textId="77777777" w:rsidR="00A050CB" w:rsidRPr="007F2D4C" w:rsidRDefault="00A050CB" w:rsidP="007375C3">
            <w:pPr>
              <w:jc w:val="right"/>
              <w:rPr>
                <w:b/>
                <w:sz w:val="20"/>
                <w:szCs w:val="20"/>
              </w:rPr>
            </w:pPr>
            <w:r w:rsidRPr="007F2D4C">
              <w:rPr>
                <w:b/>
                <w:sz w:val="20"/>
                <w:szCs w:val="20"/>
              </w:rPr>
              <w:t>45.256.386,87</w:t>
            </w:r>
          </w:p>
        </w:tc>
      </w:tr>
    </w:tbl>
    <w:p w14:paraId="4D2E2276" w14:textId="6A6D41B8" w:rsidR="00545065" w:rsidRPr="00C02F15" w:rsidRDefault="00545065" w:rsidP="00C02F15">
      <w:pPr>
        <w:keepNext/>
        <w:jc w:val="center"/>
        <w:rPr>
          <w:sz w:val="28"/>
          <w:szCs w:val="28"/>
        </w:rPr>
      </w:pPr>
    </w:p>
    <w:p w14:paraId="7DECE780" w14:textId="01B10F2B" w:rsidR="00187157" w:rsidRPr="00C02F15" w:rsidRDefault="00C02F15" w:rsidP="00C02F15">
      <w:pPr>
        <w:keepNext/>
        <w:jc w:val="center"/>
        <w:rPr>
          <w:sz w:val="28"/>
          <w:szCs w:val="28"/>
        </w:rPr>
      </w:pPr>
      <w:r w:rsidRPr="00C02F15">
        <w:rPr>
          <w:sz w:val="28"/>
          <w:szCs w:val="28"/>
        </w:rPr>
        <w:t>Bilješka</w:t>
      </w:r>
      <w:r w:rsidR="004A73A4">
        <w:rPr>
          <w:sz w:val="28"/>
          <w:szCs w:val="28"/>
        </w:rPr>
        <w:t xml:space="preserve"> 16.</w:t>
      </w:r>
    </w:p>
    <w:p w14:paraId="295BB92D" w14:textId="560A81A2" w:rsidR="002A6A6C" w:rsidRDefault="00C02F15" w:rsidP="002A6A6C">
      <w:pPr>
        <w:keepNext/>
        <w:jc w:val="center"/>
        <w:rPr>
          <w:sz w:val="28"/>
          <w:szCs w:val="28"/>
        </w:rPr>
      </w:pPr>
      <w:r>
        <w:rPr>
          <w:sz w:val="28"/>
          <w:szCs w:val="28"/>
        </w:rPr>
        <w:t xml:space="preserve">AOP 155 Potraživanja </w:t>
      </w:r>
      <w:r w:rsidR="002A6A6C">
        <w:rPr>
          <w:sz w:val="28"/>
          <w:szCs w:val="28"/>
        </w:rPr>
        <w:t>za prihode od prodaje proizvoda i robe te pruženih usluga i za povrat po protestiranim jamstvima</w:t>
      </w:r>
    </w:p>
    <w:p w14:paraId="6C1C1212" w14:textId="013D35C8" w:rsidR="002A6A6C" w:rsidRDefault="002A6A6C" w:rsidP="002A6A6C">
      <w:pPr>
        <w:keepNext/>
        <w:jc w:val="both"/>
      </w:pPr>
      <w:r w:rsidRPr="002A6A6C">
        <w:t>Potraživanja za prihode od prodaje proizvoda i robe te pruženih usluga i z</w:t>
      </w:r>
      <w:r>
        <w:t xml:space="preserve">a povrat po </w:t>
      </w:r>
      <w:r w:rsidRPr="002A6A6C">
        <w:t>protestiranim jamstvima</w:t>
      </w:r>
      <w:r>
        <w:t xml:space="preserve"> na </w:t>
      </w:r>
      <w:r w:rsidRPr="00D42A73">
        <w:t>dan 31. prosinca 202</w:t>
      </w:r>
      <w:r>
        <w:t xml:space="preserve">1 godine iznose 4.058.663.488 kuna. Najznačajniji </w:t>
      </w:r>
      <w:r w:rsidR="004A73A4">
        <w:t>dio odnosi se na potraživanja tuzemnim trgovačkim društvima izvan javnog sektora za povrate po protestiranim jamstvima kako je prikazano u Tablici</w:t>
      </w:r>
      <w:r w:rsidR="00ED1991">
        <w:t xml:space="preserve"> 6</w:t>
      </w:r>
      <w:r w:rsidR="004A73A4">
        <w:t>.</w:t>
      </w:r>
    </w:p>
    <w:p w14:paraId="0C45F299" w14:textId="77777777" w:rsidR="004A73A4" w:rsidRDefault="004A73A4" w:rsidP="002A6A6C">
      <w:pPr>
        <w:keepNext/>
        <w:jc w:val="both"/>
      </w:pPr>
    </w:p>
    <w:p w14:paraId="53E624FB" w14:textId="4BD31F6E" w:rsidR="004A73A4" w:rsidRPr="005A00FF" w:rsidRDefault="004A73A4" w:rsidP="004A73A4">
      <w:pPr>
        <w:keepNext/>
        <w:jc w:val="both"/>
        <w:rPr>
          <w:b/>
          <w:sz w:val="20"/>
          <w:szCs w:val="20"/>
        </w:rPr>
      </w:pPr>
      <w:r>
        <w:rPr>
          <w:b/>
          <w:sz w:val="20"/>
          <w:szCs w:val="20"/>
        </w:rPr>
        <w:t>Tablica 6</w:t>
      </w:r>
      <w:r w:rsidRPr="005A00FF">
        <w:rPr>
          <w:b/>
          <w:sz w:val="20"/>
          <w:szCs w:val="20"/>
        </w:rPr>
        <w:t>.</w:t>
      </w:r>
    </w:p>
    <w:tbl>
      <w:tblPr>
        <w:tblW w:w="8580" w:type="dxa"/>
        <w:jc w:val="center"/>
        <w:tblLook w:val="04A0" w:firstRow="1" w:lastRow="0" w:firstColumn="1" w:lastColumn="0" w:noHBand="0" w:noVBand="1"/>
      </w:tblPr>
      <w:tblGrid>
        <w:gridCol w:w="978"/>
        <w:gridCol w:w="4786"/>
        <w:gridCol w:w="2816"/>
      </w:tblGrid>
      <w:tr w:rsidR="004A73A4" w:rsidRPr="005A00FF" w14:paraId="255D286A" w14:textId="77777777" w:rsidTr="00515E31">
        <w:trPr>
          <w:trHeight w:val="510"/>
          <w:jc w:val="center"/>
        </w:trPr>
        <w:tc>
          <w:tcPr>
            <w:tcW w:w="9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25930A" w14:textId="77777777" w:rsidR="004A73A4" w:rsidRPr="005A00FF" w:rsidRDefault="004A73A4" w:rsidP="00515E31">
            <w:pPr>
              <w:keepNext/>
              <w:jc w:val="center"/>
              <w:rPr>
                <w:b/>
                <w:bCs/>
                <w:sz w:val="18"/>
                <w:szCs w:val="20"/>
              </w:rPr>
            </w:pPr>
            <w:r w:rsidRPr="005A00FF">
              <w:rPr>
                <w:b/>
                <w:bCs/>
                <w:sz w:val="18"/>
                <w:szCs w:val="20"/>
              </w:rPr>
              <w:t>Red. broj</w:t>
            </w:r>
          </w:p>
        </w:tc>
        <w:tc>
          <w:tcPr>
            <w:tcW w:w="4786" w:type="dxa"/>
            <w:tcBorders>
              <w:top w:val="single" w:sz="8" w:space="0" w:color="auto"/>
              <w:left w:val="nil"/>
              <w:bottom w:val="single" w:sz="4" w:space="0" w:color="auto"/>
              <w:right w:val="single" w:sz="4" w:space="0" w:color="auto"/>
            </w:tcBorders>
            <w:shd w:val="clear" w:color="auto" w:fill="auto"/>
            <w:noWrap/>
            <w:vAlign w:val="center"/>
            <w:hideMark/>
          </w:tcPr>
          <w:p w14:paraId="1F86C904" w14:textId="77777777" w:rsidR="004A73A4" w:rsidRPr="005A00FF" w:rsidRDefault="004A73A4" w:rsidP="00515E31">
            <w:pPr>
              <w:keepNext/>
              <w:jc w:val="center"/>
              <w:rPr>
                <w:b/>
                <w:bCs/>
                <w:sz w:val="18"/>
                <w:szCs w:val="20"/>
              </w:rPr>
            </w:pPr>
            <w:r w:rsidRPr="005A00FF">
              <w:rPr>
                <w:b/>
                <w:bCs/>
                <w:sz w:val="18"/>
                <w:szCs w:val="20"/>
              </w:rPr>
              <w:t>Dužnik</w:t>
            </w:r>
          </w:p>
        </w:tc>
        <w:tc>
          <w:tcPr>
            <w:tcW w:w="2816" w:type="dxa"/>
            <w:tcBorders>
              <w:top w:val="single" w:sz="8" w:space="0" w:color="auto"/>
              <w:left w:val="nil"/>
              <w:bottom w:val="single" w:sz="4" w:space="0" w:color="auto"/>
              <w:right w:val="single" w:sz="4" w:space="0" w:color="auto"/>
            </w:tcBorders>
            <w:shd w:val="clear" w:color="auto" w:fill="auto"/>
            <w:vAlign w:val="center"/>
            <w:hideMark/>
          </w:tcPr>
          <w:p w14:paraId="10DA64E4" w14:textId="77777777" w:rsidR="004A73A4" w:rsidRPr="005A00FF" w:rsidRDefault="004A73A4" w:rsidP="00515E31">
            <w:pPr>
              <w:keepNext/>
              <w:jc w:val="center"/>
              <w:rPr>
                <w:b/>
                <w:bCs/>
                <w:sz w:val="18"/>
                <w:szCs w:val="20"/>
              </w:rPr>
            </w:pPr>
            <w:r w:rsidRPr="005A00FF">
              <w:rPr>
                <w:b/>
                <w:bCs/>
                <w:sz w:val="18"/>
                <w:szCs w:val="20"/>
              </w:rPr>
              <w:t>Stanje ukupnih potraživanja na 31.12.2021.</w:t>
            </w:r>
          </w:p>
        </w:tc>
      </w:tr>
      <w:tr w:rsidR="004A73A4" w:rsidRPr="005A00FF" w14:paraId="7678CCAC" w14:textId="77777777" w:rsidTr="00515E31">
        <w:trPr>
          <w:trHeight w:val="278"/>
          <w:jc w:val="center"/>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01E43D15" w14:textId="77777777" w:rsidR="004A73A4" w:rsidRPr="005A00FF" w:rsidRDefault="004A73A4" w:rsidP="00515E31">
            <w:pPr>
              <w:keepNext/>
              <w:jc w:val="center"/>
              <w:rPr>
                <w:sz w:val="20"/>
                <w:szCs w:val="20"/>
              </w:rPr>
            </w:pPr>
            <w:r w:rsidRPr="005A00FF">
              <w:rPr>
                <w:sz w:val="20"/>
                <w:szCs w:val="20"/>
              </w:rPr>
              <w:t>1.</w:t>
            </w:r>
          </w:p>
        </w:tc>
        <w:tc>
          <w:tcPr>
            <w:tcW w:w="4786" w:type="dxa"/>
            <w:tcBorders>
              <w:top w:val="nil"/>
              <w:left w:val="nil"/>
              <w:bottom w:val="single" w:sz="4" w:space="0" w:color="auto"/>
              <w:right w:val="single" w:sz="4" w:space="0" w:color="auto"/>
            </w:tcBorders>
            <w:shd w:val="clear" w:color="auto" w:fill="auto"/>
            <w:noWrap/>
            <w:vAlign w:val="center"/>
            <w:hideMark/>
          </w:tcPr>
          <w:p w14:paraId="2C08088D" w14:textId="77777777" w:rsidR="004A73A4" w:rsidRPr="005A00FF" w:rsidRDefault="004A73A4" w:rsidP="00515E31">
            <w:pPr>
              <w:keepNext/>
              <w:rPr>
                <w:sz w:val="20"/>
                <w:szCs w:val="20"/>
              </w:rPr>
            </w:pPr>
            <w:r w:rsidRPr="005A00FF">
              <w:rPr>
                <w:sz w:val="20"/>
                <w:szCs w:val="20"/>
              </w:rPr>
              <w:t>DRNIŠPLAST</w:t>
            </w:r>
          </w:p>
        </w:tc>
        <w:tc>
          <w:tcPr>
            <w:tcW w:w="2816" w:type="dxa"/>
            <w:tcBorders>
              <w:top w:val="single" w:sz="4" w:space="0" w:color="auto"/>
              <w:left w:val="nil"/>
              <w:bottom w:val="single" w:sz="4" w:space="0" w:color="auto"/>
              <w:right w:val="single" w:sz="4" w:space="0" w:color="auto"/>
            </w:tcBorders>
            <w:shd w:val="clear" w:color="auto" w:fill="auto"/>
            <w:noWrap/>
            <w:vAlign w:val="center"/>
            <w:hideMark/>
          </w:tcPr>
          <w:p w14:paraId="4B3CCC5C" w14:textId="77777777" w:rsidR="004A73A4" w:rsidRPr="005A00FF" w:rsidRDefault="004A73A4" w:rsidP="00515E31">
            <w:pPr>
              <w:keepNext/>
              <w:jc w:val="right"/>
              <w:rPr>
                <w:sz w:val="20"/>
                <w:szCs w:val="20"/>
              </w:rPr>
            </w:pPr>
            <w:r w:rsidRPr="005A00FF">
              <w:rPr>
                <w:sz w:val="20"/>
                <w:szCs w:val="20"/>
              </w:rPr>
              <w:t>18.535.086,79</w:t>
            </w:r>
          </w:p>
        </w:tc>
      </w:tr>
      <w:tr w:rsidR="004A73A4" w:rsidRPr="005A00FF" w14:paraId="50796A56"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350C7DE" w14:textId="77777777" w:rsidR="004A73A4" w:rsidRPr="005A00FF" w:rsidRDefault="004A73A4" w:rsidP="00515E31">
            <w:pPr>
              <w:jc w:val="center"/>
              <w:rPr>
                <w:sz w:val="20"/>
                <w:szCs w:val="20"/>
              </w:rPr>
            </w:pPr>
            <w:r w:rsidRPr="005A00FF">
              <w:rPr>
                <w:sz w:val="20"/>
                <w:szCs w:val="20"/>
              </w:rPr>
              <w:t>2.</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1D1039FC" w14:textId="77777777" w:rsidR="004A73A4" w:rsidRPr="005A00FF" w:rsidRDefault="004A73A4" w:rsidP="00515E31">
            <w:pPr>
              <w:rPr>
                <w:sz w:val="20"/>
                <w:szCs w:val="20"/>
              </w:rPr>
            </w:pPr>
            <w:r w:rsidRPr="005A00FF">
              <w:rPr>
                <w:sz w:val="20"/>
                <w:szCs w:val="20"/>
              </w:rPr>
              <w:t>3. MAJ BRODOGRADILIŠTE</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128D4414" w14:textId="77777777" w:rsidR="004A73A4" w:rsidRPr="005A00FF" w:rsidRDefault="004A73A4" w:rsidP="00515E31">
            <w:pPr>
              <w:jc w:val="right"/>
              <w:rPr>
                <w:sz w:val="20"/>
                <w:szCs w:val="20"/>
              </w:rPr>
            </w:pPr>
            <w:r w:rsidRPr="005A00FF">
              <w:rPr>
                <w:sz w:val="20"/>
                <w:szCs w:val="20"/>
              </w:rPr>
              <w:t xml:space="preserve">240.702.059,72             </w:t>
            </w:r>
          </w:p>
        </w:tc>
      </w:tr>
      <w:tr w:rsidR="004A73A4" w:rsidRPr="005A00FF" w14:paraId="70B00386"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CF1527C" w14:textId="77777777" w:rsidR="004A73A4" w:rsidRPr="005A00FF" w:rsidRDefault="004A73A4" w:rsidP="00515E31">
            <w:pPr>
              <w:jc w:val="center"/>
              <w:rPr>
                <w:sz w:val="20"/>
                <w:szCs w:val="20"/>
              </w:rPr>
            </w:pPr>
            <w:r w:rsidRPr="005A00FF">
              <w:rPr>
                <w:sz w:val="20"/>
                <w:szCs w:val="20"/>
              </w:rPr>
              <w:t>3.</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30F658CE" w14:textId="77777777" w:rsidR="004A73A4" w:rsidRPr="005A00FF" w:rsidRDefault="004A73A4" w:rsidP="00515E31">
            <w:pPr>
              <w:rPr>
                <w:sz w:val="20"/>
                <w:szCs w:val="20"/>
              </w:rPr>
            </w:pPr>
            <w:r w:rsidRPr="005A00FF">
              <w:rPr>
                <w:sz w:val="20"/>
                <w:szCs w:val="20"/>
              </w:rPr>
              <w:t>LJEČILIŠTE TOPUSKO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75B9B70A" w14:textId="77777777" w:rsidR="004A73A4" w:rsidRPr="005A00FF" w:rsidRDefault="004A73A4" w:rsidP="00515E31">
            <w:pPr>
              <w:jc w:val="right"/>
              <w:rPr>
                <w:sz w:val="20"/>
                <w:szCs w:val="20"/>
              </w:rPr>
            </w:pPr>
            <w:r w:rsidRPr="005A00FF">
              <w:rPr>
                <w:sz w:val="20"/>
                <w:szCs w:val="20"/>
              </w:rPr>
              <w:t>35.064.378,73</w:t>
            </w:r>
          </w:p>
        </w:tc>
      </w:tr>
      <w:tr w:rsidR="004A73A4" w:rsidRPr="005A00FF" w14:paraId="3620824E"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84267D" w14:textId="77777777" w:rsidR="004A73A4" w:rsidRPr="005A00FF" w:rsidRDefault="004A73A4" w:rsidP="00515E31">
            <w:pPr>
              <w:jc w:val="center"/>
              <w:rPr>
                <w:sz w:val="20"/>
                <w:szCs w:val="20"/>
              </w:rPr>
            </w:pPr>
            <w:r w:rsidRPr="005A00FF">
              <w:rPr>
                <w:sz w:val="20"/>
                <w:szCs w:val="20"/>
              </w:rPr>
              <w:t>4.</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7C5582A" w14:textId="77777777" w:rsidR="004A73A4" w:rsidRPr="005A00FF" w:rsidRDefault="004A73A4" w:rsidP="00515E31">
            <w:pPr>
              <w:rPr>
                <w:sz w:val="20"/>
                <w:szCs w:val="20"/>
              </w:rPr>
            </w:pPr>
            <w:r w:rsidRPr="005A00FF">
              <w:rPr>
                <w:sz w:val="20"/>
                <w:szCs w:val="20"/>
              </w:rPr>
              <w:t>HUM</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38D3F310" w14:textId="77777777" w:rsidR="004A73A4" w:rsidRPr="005A00FF" w:rsidRDefault="004A73A4" w:rsidP="00515E31">
            <w:pPr>
              <w:jc w:val="right"/>
              <w:rPr>
                <w:sz w:val="20"/>
                <w:szCs w:val="20"/>
              </w:rPr>
            </w:pPr>
            <w:r w:rsidRPr="005A00FF">
              <w:rPr>
                <w:sz w:val="20"/>
                <w:szCs w:val="20"/>
              </w:rPr>
              <w:t>22.871.287,48</w:t>
            </w:r>
          </w:p>
        </w:tc>
      </w:tr>
      <w:tr w:rsidR="004A73A4" w:rsidRPr="005A00FF" w14:paraId="36FEA2A3"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33CDD8" w14:textId="77777777" w:rsidR="004A73A4" w:rsidRPr="005A00FF" w:rsidRDefault="004A73A4" w:rsidP="00515E31">
            <w:pPr>
              <w:jc w:val="center"/>
              <w:rPr>
                <w:sz w:val="20"/>
                <w:szCs w:val="20"/>
              </w:rPr>
            </w:pPr>
            <w:r w:rsidRPr="005A00FF">
              <w:rPr>
                <w:sz w:val="20"/>
                <w:szCs w:val="20"/>
              </w:rPr>
              <w:t>5.</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166C9357" w14:textId="77777777" w:rsidR="004A73A4" w:rsidRPr="005A00FF" w:rsidRDefault="004A73A4" w:rsidP="00515E31">
            <w:pPr>
              <w:rPr>
                <w:sz w:val="20"/>
                <w:szCs w:val="20"/>
              </w:rPr>
            </w:pPr>
            <w:r w:rsidRPr="005A00FF">
              <w:rPr>
                <w:sz w:val="20"/>
                <w:szCs w:val="20"/>
              </w:rPr>
              <w:t>OLMA MAKARSKA</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5E5D291A" w14:textId="77777777" w:rsidR="004A73A4" w:rsidRPr="005A00FF" w:rsidRDefault="004A73A4" w:rsidP="00515E31">
            <w:pPr>
              <w:jc w:val="right"/>
              <w:rPr>
                <w:sz w:val="20"/>
                <w:szCs w:val="20"/>
              </w:rPr>
            </w:pPr>
            <w:r w:rsidRPr="005A00FF">
              <w:rPr>
                <w:sz w:val="20"/>
                <w:szCs w:val="20"/>
              </w:rPr>
              <w:t>5.925.836,44</w:t>
            </w:r>
          </w:p>
        </w:tc>
      </w:tr>
      <w:tr w:rsidR="004A73A4" w:rsidRPr="005A00FF" w14:paraId="6E1F4B2D"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1B21909" w14:textId="77777777" w:rsidR="004A73A4" w:rsidRPr="005A00FF" w:rsidRDefault="004A73A4" w:rsidP="00515E31">
            <w:pPr>
              <w:jc w:val="center"/>
              <w:rPr>
                <w:sz w:val="20"/>
                <w:szCs w:val="20"/>
              </w:rPr>
            </w:pPr>
            <w:r w:rsidRPr="005A00FF">
              <w:rPr>
                <w:sz w:val="20"/>
                <w:szCs w:val="20"/>
              </w:rPr>
              <w:t>6.</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8775599" w14:textId="77777777" w:rsidR="004A73A4" w:rsidRPr="005A00FF" w:rsidRDefault="004A73A4" w:rsidP="00515E31">
            <w:pPr>
              <w:rPr>
                <w:sz w:val="20"/>
                <w:szCs w:val="20"/>
              </w:rPr>
            </w:pPr>
            <w:r w:rsidRPr="005A00FF">
              <w:rPr>
                <w:sz w:val="20"/>
                <w:szCs w:val="20"/>
              </w:rPr>
              <w:t>VINO ILOK</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51B9490" w14:textId="77777777" w:rsidR="004A73A4" w:rsidRPr="005A00FF" w:rsidRDefault="004A73A4" w:rsidP="00515E31">
            <w:pPr>
              <w:jc w:val="right"/>
              <w:rPr>
                <w:sz w:val="20"/>
                <w:szCs w:val="20"/>
              </w:rPr>
            </w:pPr>
            <w:r w:rsidRPr="005A00FF">
              <w:rPr>
                <w:sz w:val="20"/>
                <w:szCs w:val="20"/>
              </w:rPr>
              <w:t>6.912.454,59</w:t>
            </w:r>
          </w:p>
        </w:tc>
      </w:tr>
      <w:tr w:rsidR="004A73A4" w:rsidRPr="005A00FF" w14:paraId="3B32EEC8"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93E8A5" w14:textId="77777777" w:rsidR="004A73A4" w:rsidRPr="005A00FF" w:rsidRDefault="004A73A4" w:rsidP="00515E31">
            <w:pPr>
              <w:jc w:val="center"/>
              <w:rPr>
                <w:sz w:val="20"/>
                <w:szCs w:val="20"/>
              </w:rPr>
            </w:pPr>
            <w:r w:rsidRPr="005A00FF">
              <w:rPr>
                <w:sz w:val="20"/>
                <w:szCs w:val="20"/>
              </w:rPr>
              <w:t>7.</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6250DFFA" w14:textId="77777777" w:rsidR="004A73A4" w:rsidRPr="005A00FF" w:rsidRDefault="004A73A4" w:rsidP="00515E31">
            <w:pPr>
              <w:rPr>
                <w:sz w:val="20"/>
                <w:szCs w:val="20"/>
              </w:rPr>
            </w:pPr>
            <w:r w:rsidRPr="005A00FF">
              <w:rPr>
                <w:sz w:val="20"/>
                <w:szCs w:val="20"/>
              </w:rPr>
              <w:t>ULJANIK BRODOGRADILIŠTE</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53AD5216" w14:textId="77777777" w:rsidR="004A73A4" w:rsidRPr="005A00FF" w:rsidRDefault="004A73A4" w:rsidP="00515E31">
            <w:pPr>
              <w:jc w:val="right"/>
              <w:rPr>
                <w:sz w:val="20"/>
                <w:szCs w:val="20"/>
              </w:rPr>
            </w:pPr>
            <w:r w:rsidRPr="005A00FF">
              <w:rPr>
                <w:sz w:val="20"/>
                <w:szCs w:val="20"/>
              </w:rPr>
              <w:t>1.029.044.413,67</w:t>
            </w:r>
          </w:p>
        </w:tc>
      </w:tr>
      <w:tr w:rsidR="004A73A4" w:rsidRPr="005A00FF" w14:paraId="73BD0793"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FF51DD" w14:textId="77777777" w:rsidR="004A73A4" w:rsidRPr="005A00FF" w:rsidRDefault="004A73A4" w:rsidP="00515E31">
            <w:pPr>
              <w:jc w:val="center"/>
              <w:rPr>
                <w:sz w:val="20"/>
                <w:szCs w:val="20"/>
              </w:rPr>
            </w:pPr>
            <w:r w:rsidRPr="005A00FF">
              <w:rPr>
                <w:sz w:val="20"/>
                <w:szCs w:val="20"/>
              </w:rPr>
              <w:t>8.</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7CF451A4" w14:textId="77777777" w:rsidR="004A73A4" w:rsidRPr="005A00FF" w:rsidRDefault="004A73A4" w:rsidP="00515E31">
            <w:pPr>
              <w:rPr>
                <w:sz w:val="20"/>
                <w:szCs w:val="20"/>
              </w:rPr>
            </w:pPr>
            <w:r w:rsidRPr="005A00FF">
              <w:rPr>
                <w:sz w:val="20"/>
                <w:szCs w:val="20"/>
              </w:rPr>
              <w:t>ULJANIK D.D.</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43ECEFEC" w14:textId="77777777" w:rsidR="004A73A4" w:rsidRPr="005A00FF" w:rsidRDefault="004A73A4" w:rsidP="00515E31">
            <w:pPr>
              <w:jc w:val="right"/>
              <w:rPr>
                <w:sz w:val="20"/>
                <w:szCs w:val="20"/>
              </w:rPr>
            </w:pPr>
            <w:r w:rsidRPr="005A00FF">
              <w:rPr>
                <w:sz w:val="20"/>
                <w:szCs w:val="20"/>
              </w:rPr>
              <w:t>2.415.128.709,87</w:t>
            </w:r>
          </w:p>
        </w:tc>
      </w:tr>
      <w:tr w:rsidR="004A73A4" w:rsidRPr="005A00FF" w14:paraId="643642BB"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5D88040" w14:textId="77777777" w:rsidR="004A73A4" w:rsidRPr="005A00FF" w:rsidRDefault="004A73A4" w:rsidP="00515E31">
            <w:pPr>
              <w:jc w:val="center"/>
              <w:rPr>
                <w:sz w:val="20"/>
                <w:szCs w:val="20"/>
              </w:rPr>
            </w:pPr>
            <w:r w:rsidRPr="005A00FF">
              <w:rPr>
                <w:sz w:val="20"/>
                <w:szCs w:val="20"/>
              </w:rPr>
              <w:t>9.</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4DBCD5D1" w14:textId="77777777" w:rsidR="004A73A4" w:rsidRPr="005A00FF" w:rsidRDefault="004A73A4" w:rsidP="00515E31">
            <w:pPr>
              <w:rPr>
                <w:sz w:val="20"/>
                <w:szCs w:val="20"/>
              </w:rPr>
            </w:pPr>
            <w:r w:rsidRPr="005A00FF">
              <w:rPr>
                <w:sz w:val="20"/>
                <w:szCs w:val="20"/>
              </w:rPr>
              <w:t>HOTEL NOVI, NOVI VINODOLSKI</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063801A" w14:textId="77777777" w:rsidR="004A73A4" w:rsidRPr="005A00FF" w:rsidRDefault="004A73A4" w:rsidP="00515E31">
            <w:pPr>
              <w:jc w:val="right"/>
              <w:rPr>
                <w:sz w:val="20"/>
                <w:szCs w:val="20"/>
              </w:rPr>
            </w:pPr>
            <w:r w:rsidRPr="005A00FF">
              <w:rPr>
                <w:sz w:val="20"/>
                <w:szCs w:val="20"/>
              </w:rPr>
              <w:t>4.554.596,31</w:t>
            </w:r>
          </w:p>
        </w:tc>
      </w:tr>
      <w:tr w:rsidR="004A73A4" w:rsidRPr="005A00FF" w14:paraId="5A9B0B45"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0AADF3F" w14:textId="77777777" w:rsidR="004A73A4" w:rsidRPr="005A00FF" w:rsidRDefault="004A73A4" w:rsidP="00515E31">
            <w:pPr>
              <w:jc w:val="center"/>
              <w:rPr>
                <w:sz w:val="20"/>
                <w:szCs w:val="20"/>
              </w:rPr>
            </w:pPr>
            <w:r w:rsidRPr="005A00FF">
              <w:rPr>
                <w:sz w:val="20"/>
                <w:szCs w:val="20"/>
              </w:rPr>
              <w:t>10.</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643292A" w14:textId="77777777" w:rsidR="004A73A4" w:rsidRPr="005A00FF" w:rsidRDefault="004A73A4" w:rsidP="00515E31">
            <w:pPr>
              <w:rPr>
                <w:sz w:val="20"/>
                <w:szCs w:val="20"/>
              </w:rPr>
            </w:pPr>
            <w:r w:rsidRPr="005A00FF">
              <w:rPr>
                <w:sz w:val="20"/>
                <w:szCs w:val="20"/>
              </w:rPr>
              <w:t>HOTELI OMIŠALJ</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598EE95A" w14:textId="77777777" w:rsidR="004A73A4" w:rsidRPr="005A00FF" w:rsidRDefault="004A73A4" w:rsidP="00515E31">
            <w:pPr>
              <w:jc w:val="right"/>
              <w:rPr>
                <w:sz w:val="20"/>
                <w:szCs w:val="20"/>
              </w:rPr>
            </w:pPr>
            <w:r w:rsidRPr="005A00FF">
              <w:rPr>
                <w:sz w:val="20"/>
                <w:szCs w:val="20"/>
              </w:rPr>
              <w:t>38.549.288,16</w:t>
            </w:r>
          </w:p>
        </w:tc>
      </w:tr>
      <w:tr w:rsidR="004A73A4" w:rsidRPr="005A00FF" w14:paraId="71A07408"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90C2D49" w14:textId="77777777" w:rsidR="004A73A4" w:rsidRPr="005A00FF" w:rsidRDefault="004A73A4" w:rsidP="00515E31">
            <w:pPr>
              <w:jc w:val="center"/>
              <w:rPr>
                <w:sz w:val="20"/>
                <w:szCs w:val="20"/>
              </w:rPr>
            </w:pPr>
            <w:r w:rsidRPr="005A00FF">
              <w:rPr>
                <w:sz w:val="20"/>
                <w:szCs w:val="20"/>
              </w:rPr>
              <w:t>11.</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33320D7B" w14:textId="77777777" w:rsidR="004A73A4" w:rsidRPr="005A00FF" w:rsidRDefault="004A73A4" w:rsidP="00515E31">
            <w:pPr>
              <w:rPr>
                <w:sz w:val="20"/>
                <w:szCs w:val="20"/>
              </w:rPr>
            </w:pPr>
            <w:r w:rsidRPr="005A00FF">
              <w:rPr>
                <w:sz w:val="20"/>
                <w:szCs w:val="20"/>
              </w:rPr>
              <w:t>HOTELI ŠOLTA</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223BF7DC" w14:textId="77777777" w:rsidR="004A73A4" w:rsidRPr="005A00FF" w:rsidRDefault="004A73A4" w:rsidP="00515E31">
            <w:pPr>
              <w:jc w:val="right"/>
              <w:rPr>
                <w:sz w:val="20"/>
                <w:szCs w:val="20"/>
              </w:rPr>
            </w:pPr>
            <w:r w:rsidRPr="005A00FF">
              <w:rPr>
                <w:sz w:val="20"/>
                <w:szCs w:val="20"/>
              </w:rPr>
              <w:t>10.345.775,23</w:t>
            </w:r>
          </w:p>
        </w:tc>
      </w:tr>
      <w:tr w:rsidR="004A73A4" w:rsidRPr="005A00FF" w14:paraId="33940F21"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3905131" w14:textId="77777777" w:rsidR="004A73A4" w:rsidRPr="005A00FF" w:rsidRDefault="004A73A4" w:rsidP="00515E31">
            <w:pPr>
              <w:jc w:val="center"/>
              <w:rPr>
                <w:sz w:val="20"/>
                <w:szCs w:val="20"/>
              </w:rPr>
            </w:pPr>
            <w:r w:rsidRPr="005A00FF">
              <w:rPr>
                <w:sz w:val="20"/>
                <w:szCs w:val="20"/>
              </w:rPr>
              <w:t>12.</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42878910" w14:textId="77777777" w:rsidR="004A73A4" w:rsidRPr="005A00FF" w:rsidRDefault="004A73A4" w:rsidP="00515E31">
            <w:pPr>
              <w:rPr>
                <w:sz w:val="20"/>
                <w:szCs w:val="20"/>
              </w:rPr>
            </w:pPr>
            <w:r w:rsidRPr="005A00FF">
              <w:rPr>
                <w:sz w:val="20"/>
                <w:szCs w:val="20"/>
              </w:rPr>
              <w:t>PRESIDENT ZADAR</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4A1F07E" w14:textId="77777777" w:rsidR="004A73A4" w:rsidRPr="005A00FF" w:rsidRDefault="004A73A4" w:rsidP="00515E31">
            <w:pPr>
              <w:jc w:val="right"/>
              <w:rPr>
                <w:sz w:val="20"/>
                <w:szCs w:val="20"/>
              </w:rPr>
            </w:pPr>
            <w:r w:rsidRPr="005A00FF">
              <w:rPr>
                <w:sz w:val="20"/>
                <w:szCs w:val="20"/>
              </w:rPr>
              <w:t>6.964.073,62</w:t>
            </w:r>
          </w:p>
        </w:tc>
      </w:tr>
      <w:tr w:rsidR="004A73A4" w:rsidRPr="005A00FF" w14:paraId="7FD299C6"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2153A68" w14:textId="77777777" w:rsidR="004A73A4" w:rsidRPr="005A00FF" w:rsidRDefault="004A73A4" w:rsidP="00515E31">
            <w:pPr>
              <w:jc w:val="center"/>
              <w:rPr>
                <w:sz w:val="20"/>
                <w:szCs w:val="20"/>
              </w:rPr>
            </w:pPr>
            <w:r w:rsidRPr="005A00FF">
              <w:rPr>
                <w:sz w:val="20"/>
                <w:szCs w:val="20"/>
              </w:rPr>
              <w:t>13.</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136E8452" w14:textId="77777777" w:rsidR="004A73A4" w:rsidRPr="005A00FF" w:rsidRDefault="004A73A4" w:rsidP="00515E31">
            <w:pPr>
              <w:rPr>
                <w:sz w:val="20"/>
                <w:szCs w:val="20"/>
              </w:rPr>
            </w:pPr>
            <w:r w:rsidRPr="005A00FF">
              <w:rPr>
                <w:sz w:val="20"/>
                <w:szCs w:val="20"/>
              </w:rPr>
              <w:t>INKOP</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11D6FDC8" w14:textId="77777777" w:rsidR="004A73A4" w:rsidRPr="005A00FF" w:rsidRDefault="004A73A4" w:rsidP="00515E31">
            <w:pPr>
              <w:jc w:val="right"/>
              <w:rPr>
                <w:sz w:val="20"/>
                <w:szCs w:val="20"/>
              </w:rPr>
            </w:pPr>
            <w:r w:rsidRPr="005A00FF">
              <w:rPr>
                <w:sz w:val="20"/>
                <w:szCs w:val="20"/>
              </w:rPr>
              <w:t>63.633.201,17</w:t>
            </w:r>
          </w:p>
        </w:tc>
      </w:tr>
      <w:tr w:rsidR="004A73A4" w:rsidRPr="005A00FF" w14:paraId="3574E656"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D624301" w14:textId="77777777" w:rsidR="004A73A4" w:rsidRPr="005A00FF" w:rsidRDefault="004A73A4" w:rsidP="00515E31">
            <w:pPr>
              <w:jc w:val="center"/>
              <w:rPr>
                <w:sz w:val="20"/>
                <w:szCs w:val="20"/>
              </w:rPr>
            </w:pPr>
            <w:r w:rsidRPr="005A00FF">
              <w:rPr>
                <w:sz w:val="20"/>
                <w:szCs w:val="20"/>
              </w:rPr>
              <w:t>14.</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4DB163CA" w14:textId="77777777" w:rsidR="004A73A4" w:rsidRPr="005A00FF" w:rsidRDefault="004A73A4" w:rsidP="00515E31">
            <w:pPr>
              <w:rPr>
                <w:sz w:val="20"/>
                <w:szCs w:val="20"/>
              </w:rPr>
            </w:pPr>
            <w:r w:rsidRPr="005A00FF">
              <w:rPr>
                <w:sz w:val="20"/>
                <w:szCs w:val="20"/>
              </w:rPr>
              <w:t>DIOKI D.D. (CALISKAN)</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294E21D6" w14:textId="77777777" w:rsidR="004A73A4" w:rsidRPr="005A00FF" w:rsidRDefault="004A73A4" w:rsidP="00515E31">
            <w:pPr>
              <w:jc w:val="right"/>
              <w:rPr>
                <w:sz w:val="20"/>
                <w:szCs w:val="20"/>
              </w:rPr>
            </w:pPr>
            <w:r w:rsidRPr="005A00FF">
              <w:rPr>
                <w:sz w:val="20"/>
                <w:szCs w:val="20"/>
              </w:rPr>
              <w:t>38.250.000,00</w:t>
            </w:r>
          </w:p>
        </w:tc>
      </w:tr>
      <w:tr w:rsidR="004A73A4" w:rsidRPr="005A00FF" w14:paraId="5CA0E645" w14:textId="77777777" w:rsidTr="00515E31">
        <w:trPr>
          <w:trHeight w:val="278"/>
          <w:jc w:val="center"/>
        </w:trPr>
        <w:tc>
          <w:tcPr>
            <w:tcW w:w="9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0B531AE" w14:textId="77777777" w:rsidR="004A73A4" w:rsidRPr="005A00FF" w:rsidRDefault="004A73A4" w:rsidP="00515E31">
            <w:pPr>
              <w:jc w:val="center"/>
              <w:rPr>
                <w:sz w:val="20"/>
                <w:szCs w:val="20"/>
              </w:rPr>
            </w:pP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223FC225" w14:textId="77777777" w:rsidR="004A73A4" w:rsidRPr="005A00FF" w:rsidRDefault="004A73A4" w:rsidP="00515E31">
            <w:pPr>
              <w:rPr>
                <w:b/>
                <w:sz w:val="20"/>
                <w:szCs w:val="20"/>
              </w:rPr>
            </w:pPr>
            <w:r w:rsidRPr="005A00FF">
              <w:rPr>
                <w:b/>
                <w:sz w:val="20"/>
                <w:szCs w:val="20"/>
              </w:rPr>
              <w:t>UKUPNO</w:t>
            </w:r>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0307C86E" w14:textId="77777777" w:rsidR="004A73A4" w:rsidRPr="005A00FF" w:rsidRDefault="004A73A4" w:rsidP="00515E31">
            <w:pPr>
              <w:jc w:val="right"/>
              <w:rPr>
                <w:b/>
                <w:sz w:val="20"/>
                <w:szCs w:val="20"/>
              </w:rPr>
            </w:pPr>
            <w:r w:rsidRPr="005A00FF">
              <w:rPr>
                <w:b/>
                <w:sz w:val="20"/>
                <w:szCs w:val="20"/>
              </w:rPr>
              <w:t>3.936.481.161,78</w:t>
            </w:r>
          </w:p>
        </w:tc>
      </w:tr>
    </w:tbl>
    <w:p w14:paraId="23AEDBC2" w14:textId="77777777" w:rsidR="004A73A4" w:rsidRPr="006517D6" w:rsidRDefault="004A73A4" w:rsidP="004A73A4">
      <w:pPr>
        <w:jc w:val="both"/>
        <w:rPr>
          <w:b/>
          <w:color w:val="FF0000"/>
          <w:sz w:val="20"/>
          <w:szCs w:val="20"/>
        </w:rPr>
      </w:pPr>
    </w:p>
    <w:p w14:paraId="0631612B" w14:textId="77777777" w:rsidR="004A73A4" w:rsidRPr="005A00FF" w:rsidRDefault="004A73A4" w:rsidP="004A73A4">
      <w:pPr>
        <w:jc w:val="both"/>
        <w:rPr>
          <w:sz w:val="20"/>
          <w:szCs w:val="20"/>
        </w:rPr>
      </w:pPr>
      <w:r w:rsidRPr="005A00FF">
        <w:rPr>
          <w:sz w:val="20"/>
          <w:szCs w:val="20"/>
        </w:rPr>
        <w:t>R.br. 3. - potraživanje u postupku prov</w:t>
      </w:r>
      <w:r>
        <w:rPr>
          <w:sz w:val="20"/>
          <w:szCs w:val="20"/>
        </w:rPr>
        <w:t xml:space="preserve">edbe </w:t>
      </w:r>
      <w:proofErr w:type="spellStart"/>
      <w:r>
        <w:rPr>
          <w:sz w:val="20"/>
          <w:szCs w:val="20"/>
        </w:rPr>
        <w:t>isknjiženja</w:t>
      </w:r>
      <w:proofErr w:type="spellEnd"/>
      <w:r>
        <w:rPr>
          <w:sz w:val="20"/>
          <w:szCs w:val="20"/>
        </w:rPr>
        <w:t xml:space="preserve"> temeljem odluke</w:t>
      </w:r>
      <w:r w:rsidRPr="005A00FF">
        <w:rPr>
          <w:sz w:val="20"/>
          <w:szCs w:val="20"/>
        </w:rPr>
        <w:t xml:space="preserve"> Vlade Republike Hrvatske</w:t>
      </w:r>
    </w:p>
    <w:p w14:paraId="2F69713C" w14:textId="77777777" w:rsidR="004A73A4" w:rsidRPr="005A00FF" w:rsidRDefault="004A73A4" w:rsidP="004A73A4">
      <w:pPr>
        <w:jc w:val="both"/>
        <w:rPr>
          <w:sz w:val="20"/>
          <w:szCs w:val="20"/>
        </w:rPr>
      </w:pPr>
      <w:r w:rsidRPr="005A00FF">
        <w:rPr>
          <w:sz w:val="20"/>
          <w:szCs w:val="20"/>
        </w:rPr>
        <w:t>R.br. 4.-5 - potraživanja koja se namiruju u ovršnom postupku</w:t>
      </w:r>
    </w:p>
    <w:p w14:paraId="7B29D0A0" w14:textId="77777777" w:rsidR="004A73A4" w:rsidRPr="005A00FF" w:rsidRDefault="004A73A4" w:rsidP="004A73A4">
      <w:pPr>
        <w:jc w:val="both"/>
        <w:rPr>
          <w:sz w:val="20"/>
          <w:szCs w:val="20"/>
        </w:rPr>
      </w:pPr>
      <w:r w:rsidRPr="005A00FF">
        <w:rPr>
          <w:sz w:val="20"/>
          <w:szCs w:val="20"/>
        </w:rPr>
        <w:t>R.br. 6. – 14. - potraživanje prijavljeno u stečajni postupak</w:t>
      </w:r>
    </w:p>
    <w:p w14:paraId="65B7A38B" w14:textId="77777777" w:rsidR="004A73A4" w:rsidRPr="002A6A6C" w:rsidRDefault="004A73A4" w:rsidP="002A6A6C">
      <w:pPr>
        <w:keepNext/>
        <w:jc w:val="both"/>
      </w:pPr>
    </w:p>
    <w:p w14:paraId="6BC8FB7B" w14:textId="77777777" w:rsidR="00C02F15" w:rsidRDefault="00C02F15" w:rsidP="00187157">
      <w:pPr>
        <w:keepNext/>
        <w:jc w:val="center"/>
        <w:rPr>
          <w:sz w:val="28"/>
          <w:szCs w:val="28"/>
        </w:rPr>
      </w:pPr>
    </w:p>
    <w:p w14:paraId="047A0327" w14:textId="2562A13D" w:rsidR="00187157" w:rsidRPr="00C85DCC" w:rsidRDefault="004A73A4" w:rsidP="00187157">
      <w:pPr>
        <w:keepNext/>
        <w:jc w:val="center"/>
        <w:rPr>
          <w:sz w:val="28"/>
          <w:szCs w:val="28"/>
        </w:rPr>
      </w:pPr>
      <w:r>
        <w:rPr>
          <w:sz w:val="28"/>
          <w:szCs w:val="28"/>
        </w:rPr>
        <w:t>Bilješka 17</w:t>
      </w:r>
      <w:r w:rsidR="00187157" w:rsidRPr="00C85DCC">
        <w:rPr>
          <w:sz w:val="28"/>
          <w:szCs w:val="28"/>
        </w:rPr>
        <w:t>.</w:t>
      </w:r>
    </w:p>
    <w:p w14:paraId="0AD016DA" w14:textId="77777777" w:rsidR="00CB7DBB" w:rsidRDefault="00A050CB" w:rsidP="00CB7DBB">
      <w:pPr>
        <w:keepNext/>
        <w:jc w:val="center"/>
        <w:rPr>
          <w:sz w:val="28"/>
          <w:szCs w:val="28"/>
        </w:rPr>
      </w:pPr>
      <w:r w:rsidRPr="00D42A73">
        <w:rPr>
          <w:sz w:val="28"/>
          <w:szCs w:val="28"/>
        </w:rPr>
        <w:t>AOP 157</w:t>
      </w:r>
      <w:r w:rsidR="00187157" w:rsidRPr="00D42A73">
        <w:rPr>
          <w:sz w:val="28"/>
          <w:szCs w:val="28"/>
        </w:rPr>
        <w:t xml:space="preserve"> Potraživanje za kazne, upravne mjere te ostale prihode</w:t>
      </w:r>
    </w:p>
    <w:p w14:paraId="0733DDDC" w14:textId="5584A67F" w:rsidR="00187157" w:rsidRPr="00CB7DBB" w:rsidRDefault="00CB7DBB" w:rsidP="00CB7DBB">
      <w:pPr>
        <w:keepNext/>
        <w:jc w:val="both"/>
        <w:rPr>
          <w:sz w:val="28"/>
          <w:szCs w:val="28"/>
        </w:rPr>
      </w:pPr>
      <w:r>
        <w:rPr>
          <w:sz w:val="28"/>
          <w:szCs w:val="28"/>
        </w:rPr>
        <w:t>P</w:t>
      </w:r>
      <w:r>
        <w:t xml:space="preserve">otraživanje na dan 31. prosinca 2021. u iznosu </w:t>
      </w:r>
      <w:r w:rsidR="00187157" w:rsidRPr="00D42A73">
        <w:t xml:space="preserve">od 27.918.437,42 </w:t>
      </w:r>
      <w:r w:rsidR="00FE019C" w:rsidRPr="00D42A73">
        <w:rPr>
          <w:bCs/>
        </w:rPr>
        <w:t>kun</w:t>
      </w:r>
      <w:r w:rsidR="00E77536" w:rsidRPr="00D42A73">
        <w:rPr>
          <w:bCs/>
        </w:rPr>
        <w:t>e</w:t>
      </w:r>
      <w:r w:rsidR="00187157" w:rsidRPr="00D42A73">
        <w:t xml:space="preserve"> odnosi se na potraživanje od Đakovštine d.d</w:t>
      </w:r>
      <w:r w:rsidR="005D0CB1" w:rsidRPr="00D42A73">
        <w:t>.</w:t>
      </w:r>
      <w:r w:rsidR="00187157" w:rsidRPr="00D42A73">
        <w:t xml:space="preserve"> u stečaju.</w:t>
      </w:r>
      <w:r w:rsidR="00187157" w:rsidRPr="003B30B6">
        <w:t xml:space="preserve"> </w:t>
      </w:r>
    </w:p>
    <w:p w14:paraId="76D86DB7" w14:textId="3068199D" w:rsidR="005C2CC5" w:rsidRPr="003B30B6" w:rsidRDefault="005C2CC5" w:rsidP="005C2CC5">
      <w:pPr>
        <w:jc w:val="both"/>
      </w:pPr>
    </w:p>
    <w:p w14:paraId="67F60B3A" w14:textId="57C98C64" w:rsidR="005C2CC5" w:rsidRPr="00C85DCC" w:rsidRDefault="004A73A4" w:rsidP="005C2CC5">
      <w:pPr>
        <w:jc w:val="center"/>
        <w:rPr>
          <w:sz w:val="28"/>
          <w:szCs w:val="28"/>
        </w:rPr>
      </w:pPr>
      <w:r>
        <w:rPr>
          <w:sz w:val="28"/>
          <w:szCs w:val="28"/>
        </w:rPr>
        <w:t>Bilješka 18</w:t>
      </w:r>
      <w:r w:rsidR="005C2CC5" w:rsidRPr="00C85DCC">
        <w:rPr>
          <w:sz w:val="28"/>
          <w:szCs w:val="28"/>
        </w:rPr>
        <w:t xml:space="preserve">. </w:t>
      </w:r>
    </w:p>
    <w:p w14:paraId="651992C0" w14:textId="77777777" w:rsidR="005C2CC5" w:rsidRPr="00D42A73" w:rsidRDefault="005C2CC5" w:rsidP="005C2CC5">
      <w:pPr>
        <w:jc w:val="center"/>
        <w:rPr>
          <w:sz w:val="28"/>
          <w:szCs w:val="28"/>
        </w:rPr>
      </w:pPr>
      <w:r w:rsidRPr="00D42A73">
        <w:rPr>
          <w:sz w:val="28"/>
          <w:szCs w:val="28"/>
        </w:rPr>
        <w:t>AOP 171 do182 Obveze za rashode poslovanja</w:t>
      </w:r>
    </w:p>
    <w:p w14:paraId="211FB20F" w14:textId="77777777" w:rsidR="005C2CC5" w:rsidRPr="00D42A73" w:rsidRDefault="005C2CC5" w:rsidP="005C2CC5">
      <w:pPr>
        <w:jc w:val="both"/>
      </w:pPr>
      <w:r w:rsidRPr="00D42A73">
        <w:t xml:space="preserve">Iznos od 18.004.326.177 </w:t>
      </w:r>
      <w:r w:rsidRPr="00D42A73">
        <w:rPr>
          <w:bCs/>
        </w:rPr>
        <w:t>kune</w:t>
      </w:r>
      <w:r w:rsidRPr="00D42A73">
        <w:t xml:space="preserve"> na AOP-u 171 </w:t>
      </w:r>
      <w:r w:rsidRPr="00D42A73">
        <w:rPr>
          <w:i/>
        </w:rPr>
        <w:t>Obveze za rashode poslovanja</w:t>
      </w:r>
      <w:r w:rsidRPr="00D42A73">
        <w:t xml:space="preserve"> odnosi se na unesene, a neplaćene zahtjeve u 2021. za rashode poslovanja u iznosu od 23.471.855 </w:t>
      </w:r>
      <w:r w:rsidRPr="00D42A73">
        <w:rPr>
          <w:bCs/>
        </w:rPr>
        <w:t>kune</w:t>
      </w:r>
      <w:r w:rsidRPr="00D42A73">
        <w:t xml:space="preserve"> (AOP 173 i 177) te na obveze bivšeg Fonda za naknadu oduzete imovine u iznosu od 58.825.173 </w:t>
      </w:r>
      <w:r w:rsidRPr="00D42A73">
        <w:rPr>
          <w:bCs/>
        </w:rPr>
        <w:t>kuna</w:t>
      </w:r>
      <w:r w:rsidRPr="00D42A73">
        <w:t xml:space="preserve"> (AOP 181 </w:t>
      </w:r>
      <w:r w:rsidRPr="00D42A73">
        <w:rPr>
          <w:i/>
        </w:rPr>
        <w:lastRenderedPageBreak/>
        <w:t>Obveze za kazne, naknade šteta i kapitalne pomoći</w:t>
      </w:r>
      <w:r w:rsidRPr="00D42A73">
        <w:t xml:space="preserve">) i iznos 17.922.029.149 </w:t>
      </w:r>
      <w:r w:rsidRPr="00D42A73">
        <w:rPr>
          <w:bCs/>
        </w:rPr>
        <w:t>kuna</w:t>
      </w:r>
      <w:r w:rsidRPr="00D42A73">
        <w:t xml:space="preserve"> (AOP 182 </w:t>
      </w:r>
      <w:r w:rsidRPr="00D42A73">
        <w:rPr>
          <w:i/>
        </w:rPr>
        <w:t>Ostale tekuće obveze</w:t>
      </w:r>
      <w:r w:rsidRPr="00D42A73">
        <w:t xml:space="preserve">) koji između ostalog uključuje: </w:t>
      </w:r>
    </w:p>
    <w:p w14:paraId="57FEA8EA" w14:textId="77777777" w:rsidR="005C2CC5" w:rsidRPr="00D42A73" w:rsidRDefault="005C2CC5" w:rsidP="005C2CC5">
      <w:pPr>
        <w:numPr>
          <w:ilvl w:val="0"/>
          <w:numId w:val="3"/>
        </w:numPr>
        <w:tabs>
          <w:tab w:val="decimal" w:pos="9000"/>
        </w:tabs>
      </w:pPr>
      <w:r w:rsidRPr="00D42A73">
        <w:t>obveze državnog proračuna za prihode proračunskih korisnika uplaćene na račun proračuna</w:t>
      </w:r>
      <w:r w:rsidRPr="00D42A73">
        <w:tab/>
        <w:t>3.925.902.764,16</w:t>
      </w:r>
    </w:p>
    <w:p w14:paraId="5FA2ED13" w14:textId="77777777" w:rsidR="005C2CC5" w:rsidRPr="00D42A73" w:rsidRDefault="005C2CC5" w:rsidP="005C2CC5">
      <w:pPr>
        <w:numPr>
          <w:ilvl w:val="0"/>
          <w:numId w:val="3"/>
        </w:numPr>
        <w:tabs>
          <w:tab w:val="decimal" w:pos="9000"/>
        </w:tabs>
      </w:pPr>
      <w:r w:rsidRPr="00D42A73">
        <w:t>obveze za predujmove korisnika</w:t>
      </w:r>
      <w:r w:rsidRPr="00D42A73">
        <w:tab/>
        <w:t>24.747.532,56</w:t>
      </w:r>
    </w:p>
    <w:p w14:paraId="086DEA77" w14:textId="77777777" w:rsidR="005C2CC5" w:rsidRPr="00D42A73" w:rsidRDefault="005C2CC5" w:rsidP="005C2CC5">
      <w:pPr>
        <w:numPr>
          <w:ilvl w:val="0"/>
          <w:numId w:val="3"/>
        </w:numPr>
        <w:tabs>
          <w:tab w:val="decimal" w:pos="9000"/>
        </w:tabs>
        <w:rPr>
          <w:bCs/>
        </w:rPr>
      </w:pPr>
      <w:r w:rsidRPr="00D42A73">
        <w:rPr>
          <w:bCs/>
        </w:rPr>
        <w:t>35 posto od prodaje stanova Ljubljanske banke</w:t>
      </w:r>
      <w:r w:rsidRPr="00D42A73">
        <w:rPr>
          <w:bCs/>
        </w:rPr>
        <w:tab/>
        <w:t>357.089,06</w:t>
      </w:r>
    </w:p>
    <w:p w14:paraId="7BC894AB" w14:textId="46D86B4C" w:rsidR="005C2CC5" w:rsidRPr="00D42A73" w:rsidRDefault="0037552A" w:rsidP="005C2CC5">
      <w:pPr>
        <w:numPr>
          <w:ilvl w:val="0"/>
          <w:numId w:val="3"/>
        </w:numPr>
        <w:tabs>
          <w:tab w:val="decimal" w:pos="9000"/>
        </w:tabs>
        <w:rPr>
          <w:bCs/>
        </w:rPr>
      </w:pPr>
      <w:r>
        <w:rPr>
          <w:bCs/>
        </w:rPr>
        <w:t>depozite</w:t>
      </w:r>
      <w:r w:rsidR="005C2CC5" w:rsidRPr="00D42A73">
        <w:rPr>
          <w:bCs/>
        </w:rPr>
        <w:t xml:space="preserve"> carinarnica</w:t>
      </w:r>
      <w:r w:rsidR="005C2CC5" w:rsidRPr="00D42A73">
        <w:rPr>
          <w:bCs/>
        </w:rPr>
        <w:tab/>
        <w:t>50.674.826,68</w:t>
      </w:r>
    </w:p>
    <w:p w14:paraId="58FC6239" w14:textId="50ACC7F0" w:rsidR="005C2CC5" w:rsidRPr="00D42A73" w:rsidRDefault="0037552A" w:rsidP="005C2CC5">
      <w:pPr>
        <w:numPr>
          <w:ilvl w:val="0"/>
          <w:numId w:val="3"/>
        </w:numPr>
        <w:tabs>
          <w:tab w:val="decimal" w:pos="9000"/>
        </w:tabs>
        <w:ind w:right="-116"/>
        <w:rPr>
          <w:bCs/>
        </w:rPr>
      </w:pPr>
      <w:r>
        <w:rPr>
          <w:bCs/>
        </w:rPr>
        <w:t>depozite</w:t>
      </w:r>
      <w:r w:rsidR="005C2CC5" w:rsidRPr="00D42A73">
        <w:rPr>
          <w:bCs/>
        </w:rPr>
        <w:t xml:space="preserve"> korisnika iz ranijih godina                                                           </w:t>
      </w:r>
      <w:r w:rsidR="00CB7DBB">
        <w:rPr>
          <w:bCs/>
        </w:rPr>
        <w:t xml:space="preserve">    </w:t>
      </w:r>
      <w:r w:rsidR="005C2CC5" w:rsidRPr="00D42A73">
        <w:rPr>
          <w:bCs/>
        </w:rPr>
        <w:t xml:space="preserve"> 86.429.930,79</w:t>
      </w:r>
    </w:p>
    <w:p w14:paraId="65511985" w14:textId="77777777" w:rsidR="005C2CC5" w:rsidRPr="00D42A73" w:rsidRDefault="005C2CC5" w:rsidP="005C2CC5">
      <w:pPr>
        <w:numPr>
          <w:ilvl w:val="0"/>
          <w:numId w:val="3"/>
        </w:numPr>
        <w:tabs>
          <w:tab w:val="decimal" w:pos="9000"/>
        </w:tabs>
        <w:rPr>
          <w:bCs/>
        </w:rPr>
      </w:pPr>
      <w:r w:rsidRPr="00D42A73">
        <w:rPr>
          <w:bCs/>
        </w:rPr>
        <w:t>sredstva Sigurnosnog fonda za žitarice i industrijsko bilje</w:t>
      </w:r>
      <w:r w:rsidRPr="00D42A73">
        <w:rPr>
          <w:bCs/>
        </w:rPr>
        <w:tab/>
        <w:t>1.784.050,00</w:t>
      </w:r>
    </w:p>
    <w:p w14:paraId="734CE3F9" w14:textId="77777777" w:rsidR="005C2CC5" w:rsidRPr="00D42A73" w:rsidRDefault="005C2CC5" w:rsidP="005C2CC5">
      <w:pPr>
        <w:numPr>
          <w:ilvl w:val="0"/>
          <w:numId w:val="3"/>
        </w:numPr>
        <w:tabs>
          <w:tab w:val="decimal" w:pos="9000"/>
        </w:tabs>
        <w:rPr>
          <w:bCs/>
        </w:rPr>
      </w:pPr>
      <w:r w:rsidRPr="00D42A73">
        <w:rPr>
          <w:bCs/>
        </w:rPr>
        <w:t>jamčevine korisnika</w:t>
      </w:r>
      <w:r w:rsidRPr="00D42A73">
        <w:rPr>
          <w:bCs/>
        </w:rPr>
        <w:tab/>
        <w:t>122.318.412,95</w:t>
      </w:r>
    </w:p>
    <w:p w14:paraId="67D2AD6F" w14:textId="2CAD2935" w:rsidR="005C2CC5" w:rsidRPr="00D42A73" w:rsidRDefault="0037552A" w:rsidP="005C2CC5">
      <w:pPr>
        <w:numPr>
          <w:ilvl w:val="0"/>
          <w:numId w:val="3"/>
        </w:numPr>
        <w:tabs>
          <w:tab w:val="decimal" w:pos="9000"/>
        </w:tabs>
        <w:rPr>
          <w:bCs/>
        </w:rPr>
      </w:pPr>
      <w:r>
        <w:rPr>
          <w:bCs/>
        </w:rPr>
        <w:t>neprepoznate naloge</w:t>
      </w:r>
      <w:r w:rsidR="005C2CC5" w:rsidRPr="00D42A73">
        <w:rPr>
          <w:bCs/>
        </w:rPr>
        <w:tab/>
        <w:t>88.804.805,91</w:t>
      </w:r>
    </w:p>
    <w:p w14:paraId="18545D68" w14:textId="77777777" w:rsidR="005C2CC5" w:rsidRPr="00D42A73" w:rsidRDefault="005C2CC5" w:rsidP="005C2CC5">
      <w:pPr>
        <w:numPr>
          <w:ilvl w:val="0"/>
          <w:numId w:val="3"/>
        </w:numPr>
        <w:tabs>
          <w:tab w:val="decimal" w:pos="9000"/>
        </w:tabs>
        <w:rPr>
          <w:bCs/>
        </w:rPr>
      </w:pPr>
      <w:r w:rsidRPr="00D42A73">
        <w:rPr>
          <w:bCs/>
        </w:rPr>
        <w:t>sredstva iz zaključenih stečajeva i likvidacija</w:t>
      </w:r>
      <w:r w:rsidRPr="00D42A73">
        <w:rPr>
          <w:bCs/>
        </w:rPr>
        <w:tab/>
        <w:t>29.005.953,85</w:t>
      </w:r>
    </w:p>
    <w:p w14:paraId="77902FB3" w14:textId="77777777" w:rsidR="005C2CC5" w:rsidRPr="00D42A73" w:rsidRDefault="005C2CC5" w:rsidP="005C2CC5">
      <w:pPr>
        <w:numPr>
          <w:ilvl w:val="0"/>
          <w:numId w:val="3"/>
        </w:numPr>
        <w:tabs>
          <w:tab w:val="decimal" w:pos="9000"/>
        </w:tabs>
        <w:rPr>
          <w:bCs/>
        </w:rPr>
      </w:pPr>
      <w:r w:rsidRPr="00D42A73">
        <w:rPr>
          <w:bCs/>
        </w:rPr>
        <w:t xml:space="preserve">obveze za prodane kupone za sezonske poljoprivrednike </w:t>
      </w:r>
      <w:r w:rsidRPr="00D42A73">
        <w:rPr>
          <w:bCs/>
        </w:rPr>
        <w:tab/>
        <w:t>62.259.617,64</w:t>
      </w:r>
    </w:p>
    <w:p w14:paraId="7182ECD2" w14:textId="77777777" w:rsidR="005C2CC5" w:rsidRPr="00D42A73" w:rsidRDefault="005C2CC5" w:rsidP="005C2CC5">
      <w:pPr>
        <w:numPr>
          <w:ilvl w:val="0"/>
          <w:numId w:val="3"/>
        </w:numPr>
        <w:tabs>
          <w:tab w:val="decimal" w:pos="9000"/>
        </w:tabs>
        <w:rPr>
          <w:bCs/>
        </w:rPr>
      </w:pPr>
      <w:r w:rsidRPr="00D42A73">
        <w:rPr>
          <w:bCs/>
        </w:rPr>
        <w:t>obveze za doprinose osiguranja iz EU</w:t>
      </w:r>
      <w:r w:rsidRPr="00D42A73">
        <w:rPr>
          <w:bCs/>
        </w:rPr>
        <w:tab/>
        <w:t>2.761.325,59</w:t>
      </w:r>
    </w:p>
    <w:p w14:paraId="46C42BCD" w14:textId="77777777" w:rsidR="005C2CC5" w:rsidRPr="00D42A73" w:rsidRDefault="005C2CC5" w:rsidP="005C2CC5">
      <w:pPr>
        <w:numPr>
          <w:ilvl w:val="0"/>
          <w:numId w:val="3"/>
        </w:numPr>
        <w:tabs>
          <w:tab w:val="decimal" w:pos="9000"/>
        </w:tabs>
        <w:rPr>
          <w:bCs/>
        </w:rPr>
      </w:pPr>
      <w:r w:rsidRPr="00D42A73">
        <w:rPr>
          <w:bCs/>
        </w:rPr>
        <w:t>oduzeta sredstva (od fizičkih i pravnih osoba)</w:t>
      </w:r>
      <w:r w:rsidRPr="00D42A73">
        <w:rPr>
          <w:bCs/>
        </w:rPr>
        <w:tab/>
        <w:t>49.513.985,66</w:t>
      </w:r>
    </w:p>
    <w:p w14:paraId="6ED12685" w14:textId="77777777" w:rsidR="005C2CC5" w:rsidRDefault="005C2CC5" w:rsidP="005C2CC5"/>
    <w:p w14:paraId="168511ED" w14:textId="77777777" w:rsidR="005C2CC5" w:rsidRDefault="005C2CC5" w:rsidP="00187157">
      <w:pPr>
        <w:keepNext/>
        <w:jc w:val="center"/>
      </w:pPr>
    </w:p>
    <w:p w14:paraId="68541D94" w14:textId="02430BA7" w:rsidR="00187157" w:rsidRPr="00D42A73" w:rsidRDefault="00187157" w:rsidP="00187157">
      <w:pPr>
        <w:keepNext/>
        <w:jc w:val="center"/>
      </w:pPr>
      <w:r w:rsidRPr="00D42A73">
        <w:rPr>
          <w:sz w:val="28"/>
          <w:szCs w:val="28"/>
        </w:rPr>
        <w:t>Bi</w:t>
      </w:r>
      <w:r w:rsidR="004A73A4">
        <w:rPr>
          <w:sz w:val="28"/>
          <w:szCs w:val="28"/>
        </w:rPr>
        <w:t>lješka 19</w:t>
      </w:r>
      <w:r w:rsidRPr="00D42A73">
        <w:rPr>
          <w:sz w:val="28"/>
          <w:szCs w:val="28"/>
        </w:rPr>
        <w:t>.</w:t>
      </w:r>
    </w:p>
    <w:p w14:paraId="7DFFA163" w14:textId="0443EC75" w:rsidR="00187157" w:rsidRPr="00D42A73" w:rsidRDefault="007D12F1" w:rsidP="00187157">
      <w:pPr>
        <w:jc w:val="center"/>
        <w:rPr>
          <w:sz w:val="28"/>
        </w:rPr>
      </w:pPr>
      <w:r w:rsidRPr="00D42A73">
        <w:rPr>
          <w:sz w:val="28"/>
        </w:rPr>
        <w:t>AOP 187</w:t>
      </w:r>
      <w:r w:rsidR="00187157" w:rsidRPr="00D42A73">
        <w:rPr>
          <w:sz w:val="28"/>
        </w:rPr>
        <w:t xml:space="preserve"> Obveze za trezorske zapise</w:t>
      </w:r>
    </w:p>
    <w:p w14:paraId="52DF3F03" w14:textId="5E7152E6" w:rsidR="00187157" w:rsidRPr="00D42A73" w:rsidRDefault="007D12F1" w:rsidP="00187157">
      <w:pPr>
        <w:jc w:val="both"/>
      </w:pPr>
      <w:r w:rsidRPr="00D42A73">
        <w:t xml:space="preserve">Na </w:t>
      </w:r>
      <w:r w:rsidR="005543A8">
        <w:t>dan 31. prosinca 2021.</w:t>
      </w:r>
      <w:r w:rsidR="00187157" w:rsidRPr="00D42A73">
        <w:t xml:space="preserve"> </w:t>
      </w:r>
      <w:r w:rsidR="005543A8">
        <w:t>o</w:t>
      </w:r>
      <w:r w:rsidR="00187157" w:rsidRPr="005543A8">
        <w:t>bveze za trezorske zapise</w:t>
      </w:r>
      <w:r w:rsidR="00187157" w:rsidRPr="00D42A73">
        <w:t xml:space="preserve"> </w:t>
      </w:r>
      <w:r w:rsidR="005543A8">
        <w:t xml:space="preserve">iznose </w:t>
      </w:r>
      <w:r w:rsidRPr="00D42A73">
        <w:t xml:space="preserve">23.983.951.650 kuna što je povećanje od 3,9% u odnosu na stanje na početku 2021. kada je iznosilo </w:t>
      </w:r>
      <w:r w:rsidR="004F729D" w:rsidRPr="00D42A73">
        <w:t>23.074.055.842</w:t>
      </w:r>
      <w:r w:rsidR="00187157" w:rsidRPr="00D42A73">
        <w:t xml:space="preserve"> </w:t>
      </w:r>
      <w:r w:rsidR="00FE019C" w:rsidRPr="00D42A73">
        <w:rPr>
          <w:bCs/>
        </w:rPr>
        <w:t>kune</w:t>
      </w:r>
      <w:r w:rsidR="00187157" w:rsidRPr="00D42A73">
        <w:t>, a odnosi se na tuzemne trezorske i Euro zapise či</w:t>
      </w:r>
      <w:r w:rsidR="00C85DCC">
        <w:t>ja se analitika daje u Tablici 7</w:t>
      </w:r>
      <w:r w:rsidR="00187157" w:rsidRPr="00D42A73">
        <w:t>.</w:t>
      </w:r>
    </w:p>
    <w:p w14:paraId="59812D3B" w14:textId="77777777" w:rsidR="00187157" w:rsidRPr="00D42A73" w:rsidRDefault="00187157" w:rsidP="00187157">
      <w:pPr>
        <w:jc w:val="both"/>
        <w:rPr>
          <w:b/>
          <w:sz w:val="20"/>
          <w:szCs w:val="20"/>
        </w:rPr>
      </w:pPr>
    </w:p>
    <w:p w14:paraId="087C585C" w14:textId="4C4C9969" w:rsidR="00C94060" w:rsidRPr="00D42A73" w:rsidRDefault="004A73A4" w:rsidP="00C94060">
      <w:pPr>
        <w:jc w:val="both"/>
        <w:rPr>
          <w:b/>
          <w:sz w:val="20"/>
          <w:szCs w:val="20"/>
        </w:rPr>
      </w:pPr>
      <w:r>
        <w:rPr>
          <w:b/>
          <w:sz w:val="20"/>
          <w:szCs w:val="20"/>
        </w:rPr>
        <w:t>Tablica 7</w:t>
      </w:r>
      <w:r w:rsidR="00187157" w:rsidRPr="00D42A73">
        <w:rPr>
          <w:b/>
          <w:sz w:val="20"/>
          <w:szCs w:val="20"/>
        </w:rPr>
        <w:t>.</w:t>
      </w:r>
    </w:p>
    <w:tbl>
      <w:tblPr>
        <w:tblW w:w="0" w:type="auto"/>
        <w:tblLook w:val="04A0" w:firstRow="1" w:lastRow="0" w:firstColumn="1" w:lastColumn="0" w:noHBand="0" w:noVBand="1"/>
      </w:tblPr>
      <w:tblGrid>
        <w:gridCol w:w="1028"/>
        <w:gridCol w:w="2958"/>
        <w:gridCol w:w="1134"/>
        <w:gridCol w:w="2126"/>
        <w:gridCol w:w="2102"/>
      </w:tblGrid>
      <w:tr w:rsidR="00C94060" w:rsidRPr="00D42A73" w14:paraId="0CF68E79" w14:textId="77777777" w:rsidTr="007F2D4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E09A4" w14:textId="77777777" w:rsidR="00C94060" w:rsidRPr="007F2D4C" w:rsidRDefault="00C94060">
            <w:pPr>
              <w:jc w:val="center"/>
              <w:rPr>
                <w:b/>
                <w:bCs/>
                <w:sz w:val="20"/>
                <w:szCs w:val="16"/>
              </w:rPr>
            </w:pPr>
            <w:r w:rsidRPr="007F2D4C">
              <w:rPr>
                <w:b/>
                <w:bCs/>
                <w:sz w:val="20"/>
                <w:szCs w:val="16"/>
              </w:rPr>
              <w:t>Red. broj</w:t>
            </w:r>
          </w:p>
        </w:tc>
        <w:tc>
          <w:tcPr>
            <w:tcW w:w="2958" w:type="dxa"/>
            <w:tcBorders>
              <w:top w:val="single" w:sz="4" w:space="0" w:color="auto"/>
              <w:left w:val="nil"/>
              <w:bottom w:val="single" w:sz="4" w:space="0" w:color="auto"/>
              <w:right w:val="single" w:sz="4" w:space="0" w:color="auto"/>
            </w:tcBorders>
            <w:shd w:val="clear" w:color="auto" w:fill="auto"/>
            <w:noWrap/>
            <w:vAlign w:val="center"/>
            <w:hideMark/>
          </w:tcPr>
          <w:p w14:paraId="08C495B9" w14:textId="77777777" w:rsidR="00C94060" w:rsidRPr="007F2D4C" w:rsidRDefault="00C94060">
            <w:pPr>
              <w:jc w:val="center"/>
              <w:rPr>
                <w:b/>
                <w:bCs/>
                <w:sz w:val="20"/>
                <w:szCs w:val="16"/>
              </w:rPr>
            </w:pPr>
            <w:r w:rsidRPr="007F2D4C">
              <w:rPr>
                <w:b/>
                <w:bCs/>
                <w:sz w:val="20"/>
                <w:szCs w:val="16"/>
              </w:rPr>
              <w:t>Naziv</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B09612" w14:textId="77777777" w:rsidR="00C94060" w:rsidRPr="007F2D4C" w:rsidRDefault="00C94060">
            <w:pPr>
              <w:jc w:val="center"/>
              <w:rPr>
                <w:b/>
                <w:bCs/>
                <w:sz w:val="20"/>
                <w:szCs w:val="16"/>
              </w:rPr>
            </w:pPr>
            <w:r w:rsidRPr="007F2D4C">
              <w:rPr>
                <w:b/>
                <w:bCs/>
                <w:sz w:val="20"/>
                <w:szCs w:val="16"/>
              </w:rPr>
              <w:t>Valuta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7A35C3" w14:textId="77777777" w:rsidR="00C94060" w:rsidRPr="007F2D4C" w:rsidRDefault="00C94060">
            <w:pPr>
              <w:jc w:val="center"/>
              <w:rPr>
                <w:b/>
                <w:bCs/>
                <w:sz w:val="20"/>
                <w:szCs w:val="16"/>
              </w:rPr>
            </w:pPr>
            <w:r w:rsidRPr="007F2D4C">
              <w:rPr>
                <w:b/>
                <w:bCs/>
                <w:sz w:val="20"/>
                <w:szCs w:val="16"/>
              </w:rPr>
              <w:t>Stanje obveza na dan 31.12.2021. (</w:t>
            </w:r>
            <w:proofErr w:type="spellStart"/>
            <w:r w:rsidRPr="007F2D4C">
              <w:rPr>
                <w:b/>
                <w:bCs/>
                <w:sz w:val="20"/>
                <w:szCs w:val="16"/>
              </w:rPr>
              <w:t>org.val</w:t>
            </w:r>
            <w:proofErr w:type="spellEnd"/>
            <w:r w:rsidRPr="007F2D4C">
              <w:rPr>
                <w:b/>
                <w:bCs/>
                <w:sz w:val="20"/>
                <w:szCs w:val="16"/>
              </w:rPr>
              <w:t>.)</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14:paraId="506D522E" w14:textId="77777777" w:rsidR="00C94060" w:rsidRPr="007F2D4C" w:rsidRDefault="00C94060">
            <w:pPr>
              <w:jc w:val="center"/>
              <w:rPr>
                <w:b/>
                <w:bCs/>
                <w:sz w:val="20"/>
                <w:szCs w:val="16"/>
              </w:rPr>
            </w:pPr>
            <w:r w:rsidRPr="007F2D4C">
              <w:rPr>
                <w:b/>
                <w:bCs/>
                <w:sz w:val="20"/>
                <w:szCs w:val="16"/>
              </w:rPr>
              <w:t>Stanje obveza na dan 31.12.2021. u kunama</w:t>
            </w:r>
          </w:p>
        </w:tc>
      </w:tr>
      <w:tr w:rsidR="00C94060" w:rsidRPr="00D42A73" w14:paraId="07813A39" w14:textId="77777777" w:rsidTr="007F2D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470AD" w14:textId="77777777" w:rsidR="00C94060" w:rsidRPr="007F2D4C" w:rsidRDefault="00C94060">
            <w:pPr>
              <w:jc w:val="center"/>
              <w:rPr>
                <w:sz w:val="20"/>
                <w:szCs w:val="16"/>
              </w:rPr>
            </w:pPr>
            <w:r w:rsidRPr="007F2D4C">
              <w:rPr>
                <w:sz w:val="20"/>
                <w:szCs w:val="16"/>
              </w:rPr>
              <w:t>1.</w:t>
            </w:r>
          </w:p>
        </w:tc>
        <w:tc>
          <w:tcPr>
            <w:tcW w:w="2958" w:type="dxa"/>
            <w:tcBorders>
              <w:top w:val="nil"/>
              <w:left w:val="nil"/>
              <w:bottom w:val="single" w:sz="4" w:space="0" w:color="auto"/>
              <w:right w:val="single" w:sz="4" w:space="0" w:color="auto"/>
            </w:tcBorders>
            <w:shd w:val="clear" w:color="auto" w:fill="auto"/>
            <w:noWrap/>
            <w:vAlign w:val="center"/>
            <w:hideMark/>
          </w:tcPr>
          <w:p w14:paraId="302389F2" w14:textId="77777777" w:rsidR="00C94060" w:rsidRPr="007F2D4C" w:rsidRDefault="00C94060">
            <w:pPr>
              <w:rPr>
                <w:sz w:val="20"/>
                <w:szCs w:val="16"/>
              </w:rPr>
            </w:pPr>
            <w:r w:rsidRPr="007F2D4C">
              <w:rPr>
                <w:sz w:val="20"/>
                <w:szCs w:val="16"/>
              </w:rPr>
              <w:t>Trezorski zapisi</w:t>
            </w:r>
          </w:p>
        </w:tc>
        <w:tc>
          <w:tcPr>
            <w:tcW w:w="1134" w:type="dxa"/>
            <w:tcBorders>
              <w:top w:val="nil"/>
              <w:left w:val="nil"/>
              <w:bottom w:val="single" w:sz="4" w:space="0" w:color="auto"/>
              <w:right w:val="single" w:sz="4" w:space="0" w:color="auto"/>
            </w:tcBorders>
            <w:shd w:val="clear" w:color="auto" w:fill="auto"/>
            <w:noWrap/>
            <w:vAlign w:val="center"/>
            <w:hideMark/>
          </w:tcPr>
          <w:p w14:paraId="5E6FCE5F" w14:textId="77777777" w:rsidR="00C94060" w:rsidRPr="007F2D4C" w:rsidRDefault="00C94060">
            <w:pPr>
              <w:jc w:val="center"/>
              <w:rPr>
                <w:sz w:val="20"/>
                <w:szCs w:val="16"/>
              </w:rPr>
            </w:pPr>
            <w:r w:rsidRPr="007F2D4C">
              <w:rPr>
                <w:sz w:val="20"/>
                <w:szCs w:val="16"/>
              </w:rPr>
              <w:t>HRK</w:t>
            </w:r>
          </w:p>
        </w:tc>
        <w:tc>
          <w:tcPr>
            <w:tcW w:w="2126" w:type="dxa"/>
            <w:tcBorders>
              <w:top w:val="nil"/>
              <w:left w:val="nil"/>
              <w:bottom w:val="single" w:sz="4" w:space="0" w:color="auto"/>
              <w:right w:val="single" w:sz="4" w:space="0" w:color="auto"/>
            </w:tcBorders>
            <w:shd w:val="clear" w:color="auto" w:fill="auto"/>
            <w:noWrap/>
            <w:vAlign w:val="center"/>
            <w:hideMark/>
          </w:tcPr>
          <w:p w14:paraId="024CFAF7" w14:textId="77777777" w:rsidR="00C94060" w:rsidRPr="007F2D4C" w:rsidRDefault="00C94060">
            <w:pPr>
              <w:jc w:val="right"/>
              <w:rPr>
                <w:sz w:val="20"/>
                <w:szCs w:val="16"/>
              </w:rPr>
            </w:pPr>
            <w:r w:rsidRPr="007F2D4C">
              <w:rPr>
                <w:sz w:val="20"/>
                <w:szCs w:val="16"/>
              </w:rPr>
              <w:t>13.677.911.580,00</w:t>
            </w:r>
          </w:p>
        </w:tc>
        <w:tc>
          <w:tcPr>
            <w:tcW w:w="2102" w:type="dxa"/>
            <w:tcBorders>
              <w:top w:val="nil"/>
              <w:left w:val="nil"/>
              <w:bottom w:val="single" w:sz="4" w:space="0" w:color="auto"/>
              <w:right w:val="single" w:sz="4" w:space="0" w:color="auto"/>
            </w:tcBorders>
            <w:shd w:val="clear" w:color="auto" w:fill="auto"/>
            <w:noWrap/>
            <w:vAlign w:val="center"/>
            <w:hideMark/>
          </w:tcPr>
          <w:p w14:paraId="5E449126" w14:textId="77777777" w:rsidR="00C94060" w:rsidRPr="007F2D4C" w:rsidRDefault="00C94060">
            <w:pPr>
              <w:jc w:val="right"/>
              <w:rPr>
                <w:sz w:val="20"/>
                <w:szCs w:val="16"/>
              </w:rPr>
            </w:pPr>
            <w:r w:rsidRPr="007F2D4C">
              <w:rPr>
                <w:sz w:val="20"/>
                <w:szCs w:val="16"/>
              </w:rPr>
              <w:t>13.677.911.580,00</w:t>
            </w:r>
          </w:p>
        </w:tc>
      </w:tr>
      <w:tr w:rsidR="00C94060" w:rsidRPr="00D42A73" w14:paraId="3A869FE1" w14:textId="77777777" w:rsidTr="007F2D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357E8" w14:textId="77777777" w:rsidR="00C94060" w:rsidRPr="007F2D4C" w:rsidRDefault="00C94060">
            <w:pPr>
              <w:jc w:val="center"/>
              <w:rPr>
                <w:sz w:val="20"/>
                <w:szCs w:val="16"/>
              </w:rPr>
            </w:pPr>
            <w:r w:rsidRPr="007F2D4C">
              <w:rPr>
                <w:sz w:val="20"/>
                <w:szCs w:val="16"/>
              </w:rPr>
              <w:t>2.</w:t>
            </w:r>
          </w:p>
        </w:tc>
        <w:tc>
          <w:tcPr>
            <w:tcW w:w="2958" w:type="dxa"/>
            <w:tcBorders>
              <w:top w:val="nil"/>
              <w:left w:val="nil"/>
              <w:bottom w:val="single" w:sz="4" w:space="0" w:color="auto"/>
              <w:right w:val="single" w:sz="4" w:space="0" w:color="auto"/>
            </w:tcBorders>
            <w:shd w:val="clear" w:color="auto" w:fill="auto"/>
            <w:noWrap/>
            <w:vAlign w:val="center"/>
            <w:hideMark/>
          </w:tcPr>
          <w:p w14:paraId="2C6FFF6D" w14:textId="77777777" w:rsidR="00C94060" w:rsidRPr="007F2D4C" w:rsidRDefault="00C94060">
            <w:pPr>
              <w:rPr>
                <w:sz w:val="20"/>
                <w:szCs w:val="16"/>
              </w:rPr>
            </w:pPr>
            <w:r w:rsidRPr="007F2D4C">
              <w:rPr>
                <w:sz w:val="20"/>
                <w:szCs w:val="16"/>
              </w:rPr>
              <w:t xml:space="preserve">EURO zapisi </w:t>
            </w:r>
          </w:p>
        </w:tc>
        <w:tc>
          <w:tcPr>
            <w:tcW w:w="1134" w:type="dxa"/>
            <w:tcBorders>
              <w:top w:val="nil"/>
              <w:left w:val="nil"/>
              <w:bottom w:val="single" w:sz="4" w:space="0" w:color="auto"/>
              <w:right w:val="single" w:sz="4" w:space="0" w:color="auto"/>
            </w:tcBorders>
            <w:shd w:val="clear" w:color="auto" w:fill="auto"/>
            <w:noWrap/>
            <w:vAlign w:val="center"/>
            <w:hideMark/>
          </w:tcPr>
          <w:p w14:paraId="5FA6CF83" w14:textId="77777777" w:rsidR="00C94060" w:rsidRPr="007F2D4C" w:rsidRDefault="00C94060">
            <w:pPr>
              <w:jc w:val="center"/>
              <w:rPr>
                <w:sz w:val="20"/>
                <w:szCs w:val="16"/>
              </w:rPr>
            </w:pPr>
            <w:r w:rsidRPr="007F2D4C">
              <w:rPr>
                <w:sz w:val="20"/>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1D73C968" w14:textId="77777777" w:rsidR="00C94060" w:rsidRPr="007F2D4C" w:rsidRDefault="00C94060">
            <w:pPr>
              <w:jc w:val="right"/>
              <w:rPr>
                <w:sz w:val="20"/>
                <w:szCs w:val="16"/>
              </w:rPr>
            </w:pPr>
            <w:r w:rsidRPr="007F2D4C">
              <w:rPr>
                <w:sz w:val="20"/>
                <w:szCs w:val="16"/>
              </w:rPr>
              <w:t>171.000.000,00</w:t>
            </w:r>
          </w:p>
        </w:tc>
        <w:tc>
          <w:tcPr>
            <w:tcW w:w="2102" w:type="dxa"/>
            <w:tcBorders>
              <w:top w:val="nil"/>
              <w:left w:val="nil"/>
              <w:bottom w:val="single" w:sz="4" w:space="0" w:color="auto"/>
              <w:right w:val="single" w:sz="4" w:space="0" w:color="auto"/>
            </w:tcBorders>
            <w:shd w:val="clear" w:color="auto" w:fill="auto"/>
            <w:noWrap/>
            <w:vAlign w:val="center"/>
            <w:hideMark/>
          </w:tcPr>
          <w:p w14:paraId="7E025512" w14:textId="77777777" w:rsidR="00C94060" w:rsidRPr="007F2D4C" w:rsidRDefault="00C94060">
            <w:pPr>
              <w:jc w:val="right"/>
              <w:rPr>
                <w:sz w:val="20"/>
                <w:szCs w:val="16"/>
              </w:rPr>
            </w:pPr>
            <w:r w:rsidRPr="007F2D4C">
              <w:rPr>
                <w:sz w:val="20"/>
                <w:szCs w:val="16"/>
              </w:rPr>
              <w:t>1.285.436.070,00</w:t>
            </w:r>
          </w:p>
        </w:tc>
      </w:tr>
      <w:tr w:rsidR="00C94060" w:rsidRPr="00D42A73" w14:paraId="103FB1BB" w14:textId="77777777" w:rsidTr="007F2D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B05CD1" w14:textId="77777777" w:rsidR="00C94060" w:rsidRPr="007F2D4C" w:rsidRDefault="00C94060">
            <w:pPr>
              <w:jc w:val="center"/>
              <w:rPr>
                <w:sz w:val="20"/>
                <w:szCs w:val="16"/>
              </w:rPr>
            </w:pPr>
            <w:r w:rsidRPr="007F2D4C">
              <w:rPr>
                <w:sz w:val="20"/>
                <w:szCs w:val="16"/>
              </w:rPr>
              <w:t>3.</w:t>
            </w:r>
          </w:p>
        </w:tc>
        <w:tc>
          <w:tcPr>
            <w:tcW w:w="2958" w:type="dxa"/>
            <w:tcBorders>
              <w:top w:val="nil"/>
              <w:left w:val="nil"/>
              <w:bottom w:val="single" w:sz="4" w:space="0" w:color="auto"/>
              <w:right w:val="single" w:sz="4" w:space="0" w:color="auto"/>
            </w:tcBorders>
            <w:shd w:val="clear" w:color="auto" w:fill="auto"/>
            <w:noWrap/>
            <w:vAlign w:val="center"/>
            <w:hideMark/>
          </w:tcPr>
          <w:p w14:paraId="5DE5B536" w14:textId="77777777" w:rsidR="00C94060" w:rsidRPr="007F2D4C" w:rsidRDefault="00C94060">
            <w:pPr>
              <w:rPr>
                <w:sz w:val="20"/>
                <w:szCs w:val="16"/>
              </w:rPr>
            </w:pPr>
            <w:r w:rsidRPr="007F2D4C">
              <w:rPr>
                <w:sz w:val="20"/>
                <w:szCs w:val="16"/>
              </w:rPr>
              <w:t>EURO FX zapisi</w:t>
            </w:r>
          </w:p>
        </w:tc>
        <w:tc>
          <w:tcPr>
            <w:tcW w:w="1134" w:type="dxa"/>
            <w:tcBorders>
              <w:top w:val="nil"/>
              <w:left w:val="nil"/>
              <w:bottom w:val="single" w:sz="4" w:space="0" w:color="auto"/>
              <w:right w:val="single" w:sz="4" w:space="0" w:color="auto"/>
            </w:tcBorders>
            <w:shd w:val="clear" w:color="auto" w:fill="auto"/>
            <w:noWrap/>
            <w:vAlign w:val="center"/>
            <w:hideMark/>
          </w:tcPr>
          <w:p w14:paraId="5065B90D" w14:textId="77777777" w:rsidR="00C94060" w:rsidRPr="007F2D4C" w:rsidRDefault="00C94060">
            <w:pPr>
              <w:jc w:val="center"/>
              <w:rPr>
                <w:sz w:val="20"/>
                <w:szCs w:val="16"/>
              </w:rPr>
            </w:pPr>
            <w:r w:rsidRPr="007F2D4C">
              <w:rPr>
                <w:sz w:val="20"/>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6978F8CB" w14:textId="77777777" w:rsidR="00C94060" w:rsidRPr="007F2D4C" w:rsidRDefault="00C94060">
            <w:pPr>
              <w:jc w:val="right"/>
              <w:rPr>
                <w:sz w:val="20"/>
                <w:szCs w:val="16"/>
              </w:rPr>
            </w:pPr>
            <w:r w:rsidRPr="007F2D4C">
              <w:rPr>
                <w:sz w:val="20"/>
                <w:szCs w:val="16"/>
              </w:rPr>
              <w:t>1.200.000.000,00</w:t>
            </w:r>
          </w:p>
        </w:tc>
        <w:tc>
          <w:tcPr>
            <w:tcW w:w="2102" w:type="dxa"/>
            <w:tcBorders>
              <w:top w:val="nil"/>
              <w:left w:val="nil"/>
              <w:bottom w:val="single" w:sz="4" w:space="0" w:color="auto"/>
              <w:right w:val="single" w:sz="4" w:space="0" w:color="auto"/>
            </w:tcBorders>
            <w:shd w:val="clear" w:color="auto" w:fill="auto"/>
            <w:noWrap/>
            <w:vAlign w:val="center"/>
            <w:hideMark/>
          </w:tcPr>
          <w:p w14:paraId="60ED721D" w14:textId="77777777" w:rsidR="00C94060" w:rsidRPr="007F2D4C" w:rsidRDefault="00C94060">
            <w:pPr>
              <w:jc w:val="right"/>
              <w:rPr>
                <w:sz w:val="20"/>
                <w:szCs w:val="16"/>
              </w:rPr>
            </w:pPr>
            <w:r w:rsidRPr="007F2D4C">
              <w:rPr>
                <w:sz w:val="20"/>
                <w:szCs w:val="16"/>
              </w:rPr>
              <w:t>9.020.604.000,00</w:t>
            </w:r>
          </w:p>
        </w:tc>
      </w:tr>
      <w:tr w:rsidR="00C94060" w14:paraId="3BA9DA0C" w14:textId="77777777" w:rsidTr="007F2D4C">
        <w:trPr>
          <w:trHeight w:val="270"/>
        </w:trPr>
        <w:tc>
          <w:tcPr>
            <w:tcW w:w="0" w:type="auto"/>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6921BB0" w14:textId="77777777" w:rsidR="00C94060" w:rsidRPr="007F2D4C" w:rsidRDefault="00C94060">
            <w:pPr>
              <w:jc w:val="center"/>
              <w:rPr>
                <w:sz w:val="20"/>
                <w:szCs w:val="16"/>
              </w:rPr>
            </w:pPr>
            <w:r w:rsidRPr="007F2D4C">
              <w:rPr>
                <w:sz w:val="20"/>
                <w:szCs w:val="16"/>
              </w:rPr>
              <w:t> </w:t>
            </w:r>
          </w:p>
        </w:tc>
        <w:tc>
          <w:tcPr>
            <w:tcW w:w="2958" w:type="dxa"/>
            <w:tcBorders>
              <w:top w:val="double" w:sz="6" w:space="0" w:color="auto"/>
              <w:left w:val="nil"/>
              <w:bottom w:val="double" w:sz="6" w:space="0" w:color="auto"/>
              <w:right w:val="double" w:sz="6" w:space="0" w:color="auto"/>
            </w:tcBorders>
            <w:shd w:val="clear" w:color="auto" w:fill="auto"/>
            <w:noWrap/>
            <w:vAlign w:val="center"/>
            <w:hideMark/>
          </w:tcPr>
          <w:p w14:paraId="5E3D1716" w14:textId="77777777" w:rsidR="00C94060" w:rsidRPr="007F2D4C" w:rsidRDefault="00C94060">
            <w:pPr>
              <w:rPr>
                <w:b/>
                <w:bCs/>
                <w:sz w:val="20"/>
                <w:szCs w:val="16"/>
              </w:rPr>
            </w:pPr>
            <w:r w:rsidRPr="007F2D4C">
              <w:rPr>
                <w:b/>
                <w:bCs/>
                <w:sz w:val="20"/>
                <w:szCs w:val="16"/>
              </w:rPr>
              <w:t>Ukupno:</w:t>
            </w:r>
          </w:p>
        </w:tc>
        <w:tc>
          <w:tcPr>
            <w:tcW w:w="1134" w:type="dxa"/>
            <w:tcBorders>
              <w:top w:val="double" w:sz="6" w:space="0" w:color="auto"/>
              <w:left w:val="nil"/>
              <w:bottom w:val="double" w:sz="6" w:space="0" w:color="auto"/>
              <w:right w:val="double" w:sz="6" w:space="0" w:color="auto"/>
            </w:tcBorders>
            <w:shd w:val="clear" w:color="auto" w:fill="auto"/>
            <w:noWrap/>
            <w:vAlign w:val="center"/>
            <w:hideMark/>
          </w:tcPr>
          <w:p w14:paraId="68AB9369" w14:textId="77777777" w:rsidR="00C94060" w:rsidRPr="007F2D4C" w:rsidRDefault="00C94060">
            <w:pPr>
              <w:jc w:val="center"/>
              <w:rPr>
                <w:b/>
                <w:bCs/>
                <w:sz w:val="20"/>
                <w:szCs w:val="16"/>
              </w:rPr>
            </w:pPr>
            <w:r w:rsidRPr="007F2D4C">
              <w:rPr>
                <w:b/>
                <w:bCs/>
                <w:sz w:val="20"/>
                <w:szCs w:val="16"/>
              </w:rPr>
              <w:t>HRK</w:t>
            </w:r>
          </w:p>
        </w:tc>
        <w:tc>
          <w:tcPr>
            <w:tcW w:w="2126" w:type="dxa"/>
            <w:tcBorders>
              <w:top w:val="double" w:sz="6" w:space="0" w:color="auto"/>
              <w:left w:val="nil"/>
              <w:bottom w:val="double" w:sz="6" w:space="0" w:color="auto"/>
              <w:right w:val="double" w:sz="6" w:space="0" w:color="auto"/>
            </w:tcBorders>
            <w:shd w:val="clear" w:color="auto" w:fill="auto"/>
            <w:noWrap/>
            <w:vAlign w:val="center"/>
            <w:hideMark/>
          </w:tcPr>
          <w:p w14:paraId="19431CFB" w14:textId="77777777" w:rsidR="00C94060" w:rsidRPr="007F2D4C" w:rsidRDefault="00C94060">
            <w:pPr>
              <w:rPr>
                <w:b/>
                <w:bCs/>
                <w:sz w:val="20"/>
                <w:szCs w:val="16"/>
              </w:rPr>
            </w:pPr>
            <w:r w:rsidRPr="007F2D4C">
              <w:rPr>
                <w:b/>
                <w:bCs/>
                <w:sz w:val="20"/>
                <w:szCs w:val="16"/>
              </w:rPr>
              <w:t> </w:t>
            </w:r>
          </w:p>
        </w:tc>
        <w:tc>
          <w:tcPr>
            <w:tcW w:w="2102" w:type="dxa"/>
            <w:tcBorders>
              <w:top w:val="double" w:sz="6" w:space="0" w:color="auto"/>
              <w:left w:val="nil"/>
              <w:bottom w:val="double" w:sz="6" w:space="0" w:color="auto"/>
              <w:right w:val="double" w:sz="6" w:space="0" w:color="auto"/>
            </w:tcBorders>
            <w:shd w:val="clear" w:color="auto" w:fill="auto"/>
            <w:noWrap/>
            <w:vAlign w:val="center"/>
            <w:hideMark/>
          </w:tcPr>
          <w:p w14:paraId="3EBB89FF" w14:textId="77777777" w:rsidR="00C94060" w:rsidRPr="007F2D4C" w:rsidRDefault="00C94060">
            <w:pPr>
              <w:jc w:val="right"/>
              <w:rPr>
                <w:b/>
                <w:bCs/>
                <w:sz w:val="20"/>
                <w:szCs w:val="16"/>
              </w:rPr>
            </w:pPr>
            <w:r w:rsidRPr="007F2D4C">
              <w:rPr>
                <w:b/>
                <w:bCs/>
                <w:sz w:val="20"/>
                <w:szCs w:val="16"/>
              </w:rPr>
              <w:t>23.983.951.650,00</w:t>
            </w:r>
          </w:p>
        </w:tc>
      </w:tr>
    </w:tbl>
    <w:p w14:paraId="11D2DCEC" w14:textId="7486D415" w:rsidR="00317243" w:rsidRPr="00D42A73" w:rsidRDefault="00317243" w:rsidP="007D12F1">
      <w:pPr>
        <w:jc w:val="both"/>
      </w:pPr>
    </w:p>
    <w:p w14:paraId="3FDAAA39" w14:textId="12B3ABCF" w:rsidR="007D12F1" w:rsidRPr="00D42A73" w:rsidRDefault="007D12F1" w:rsidP="007D12F1">
      <w:pPr>
        <w:jc w:val="both"/>
      </w:pPr>
      <w:r w:rsidRPr="00D42A73">
        <w:t xml:space="preserve">Ministarstvo financija provodi aukcije trezorskih zapisa u skladu s Pravilima i uvjetima aukcija trezorskih zapisa, koristeći se elektroničkim aukcijskim sustavom </w:t>
      </w:r>
      <w:proofErr w:type="spellStart"/>
      <w:r w:rsidRPr="00D42A73">
        <w:t>Bloomberg</w:t>
      </w:r>
      <w:proofErr w:type="spellEnd"/>
      <w:r w:rsidRPr="00D42A73">
        <w:t xml:space="preserve"> (BAS).</w:t>
      </w:r>
    </w:p>
    <w:p w14:paraId="1742C130" w14:textId="77777777" w:rsidR="007D12F1" w:rsidRPr="00D42A73" w:rsidRDefault="007D12F1" w:rsidP="007D12F1">
      <w:pPr>
        <w:jc w:val="both"/>
      </w:pPr>
    </w:p>
    <w:p w14:paraId="42C12E57" w14:textId="72EDFE30" w:rsidR="007D12F1" w:rsidRPr="00D42A73" w:rsidRDefault="007D12F1" w:rsidP="007D12F1">
      <w:pPr>
        <w:jc w:val="both"/>
      </w:pPr>
      <w:r w:rsidRPr="00D42A73">
        <w:t>Tijekom 2021. godine održano je 14 aukcija trezorskih zapisa na kojima je bilo ukupno 15 izdanja, od čega 12 kunskih izdanja, 2 izdanja trezorskih zapisa izraženih u eurima, a plativih u kunama te 1 izdanje FX trezorskih zapisa, izraženih i plativih u eurima. Kod kunskih izdanja trezorskih zapisa 1 izdanje je bilo s rokom dospijeća od 182 dana te 11 izdanja s rokom dospijeća od 364 dana.</w:t>
      </w:r>
    </w:p>
    <w:p w14:paraId="2F3D76F8" w14:textId="77777777" w:rsidR="007D12F1" w:rsidRPr="00D42A73" w:rsidRDefault="007D12F1" w:rsidP="007D12F1">
      <w:pPr>
        <w:jc w:val="both"/>
      </w:pPr>
    </w:p>
    <w:p w14:paraId="081B8D16" w14:textId="3ADD241E" w:rsidR="007D12F1" w:rsidRPr="00D42A73" w:rsidRDefault="007D12F1" w:rsidP="007D12F1">
      <w:pPr>
        <w:jc w:val="both"/>
      </w:pPr>
      <w:r w:rsidRPr="00D42A73">
        <w:t>Na aukcijama trezorskih zapisa izdano je ukupno 14,001 milijardi kuna, 171 milijuna eura (plativih u kunama) i 1,2 milijardi eura FX trezorskih zapisa (plativih u eurima). Istodobno je iskupljeno 14,407 milijardi kuna, 159 milijuna eura (plativih u kunama) i 1,035 milijardi eura FX trezorskih zapisa (plativih u eurima). Stanje ukupno upisanih trezorskih zapisa povećalo se sa 23,0 milijarde kuna, koliko je iznosilo potkraj 2020. godine, na 23,9 milijardi kuna, koliko je iznosilo na kraju 2021 godine.</w:t>
      </w:r>
    </w:p>
    <w:p w14:paraId="50BF6073" w14:textId="77777777" w:rsidR="007D12F1" w:rsidRPr="00D42A73" w:rsidRDefault="007D12F1" w:rsidP="007D12F1">
      <w:pPr>
        <w:jc w:val="both"/>
      </w:pPr>
    </w:p>
    <w:p w14:paraId="21F5CA4F" w14:textId="3D29AC60" w:rsidR="00A60416" w:rsidRDefault="007D12F1" w:rsidP="007D12F1">
      <w:pPr>
        <w:jc w:val="both"/>
      </w:pPr>
      <w:r w:rsidRPr="00D42A73">
        <w:t xml:space="preserve">Potkraj 2021. godine kamatne stope na trezorske zapise u kunama s rokom dospijeća od 364 dana iznosile su 0,00% . Kamatne stope na trezorske zapise s valutnom klauzulom s rokom dospijeća </w:t>
      </w:r>
      <w:r w:rsidRPr="00D42A73">
        <w:lastRenderedPageBreak/>
        <w:t>od 364 dana iznosile su -0,15%, a kamatna stopa na euro FX trezorske zapise s rokom dospijeća od 364 dana -0,05%.</w:t>
      </w:r>
    </w:p>
    <w:p w14:paraId="02C6AEFA" w14:textId="77777777" w:rsidR="00C94060" w:rsidRPr="003B30B6" w:rsidRDefault="00C94060" w:rsidP="007D12F1">
      <w:pPr>
        <w:jc w:val="both"/>
      </w:pPr>
    </w:p>
    <w:p w14:paraId="6D5F08DF" w14:textId="60B758E0" w:rsidR="00977769" w:rsidRPr="00C85DCC" w:rsidRDefault="004A73A4" w:rsidP="00977769">
      <w:pPr>
        <w:jc w:val="center"/>
        <w:rPr>
          <w:sz w:val="28"/>
        </w:rPr>
      </w:pPr>
      <w:r>
        <w:rPr>
          <w:sz w:val="28"/>
        </w:rPr>
        <w:t>Bilješka 20</w:t>
      </w:r>
      <w:r w:rsidR="00977769" w:rsidRPr="00C85DCC">
        <w:rPr>
          <w:sz w:val="28"/>
        </w:rPr>
        <w:t>.</w:t>
      </w:r>
    </w:p>
    <w:p w14:paraId="71E43A7C" w14:textId="5D14A015" w:rsidR="00977769" w:rsidRPr="00D42A73" w:rsidRDefault="00317243" w:rsidP="00977769">
      <w:pPr>
        <w:jc w:val="center"/>
        <w:rPr>
          <w:sz w:val="28"/>
        </w:rPr>
      </w:pPr>
      <w:r w:rsidRPr="00D42A73">
        <w:rPr>
          <w:bCs/>
          <w:sz w:val="28"/>
        </w:rPr>
        <w:t>AOP 189</w:t>
      </w:r>
      <w:r w:rsidR="00977769" w:rsidRPr="00D42A73">
        <w:rPr>
          <w:bCs/>
          <w:sz w:val="28"/>
        </w:rPr>
        <w:t xml:space="preserve"> Obveza za obveznice - tuzemne</w:t>
      </w:r>
    </w:p>
    <w:p w14:paraId="5BA4A167" w14:textId="75A949FF" w:rsidR="00977769" w:rsidRDefault="00977769" w:rsidP="00977769">
      <w:pPr>
        <w:jc w:val="both"/>
      </w:pPr>
      <w:r w:rsidRPr="00D42A73">
        <w:t xml:space="preserve">Iznos od </w:t>
      </w:r>
      <w:r w:rsidR="00C94060" w:rsidRPr="00D42A73">
        <w:t>121.525.839.650</w:t>
      </w:r>
      <w:r w:rsidRPr="00D42A73">
        <w:rPr>
          <w:bCs/>
        </w:rPr>
        <w:t xml:space="preserve"> </w:t>
      </w:r>
      <w:r w:rsidR="00FE019C" w:rsidRPr="00D42A73">
        <w:rPr>
          <w:bCs/>
        </w:rPr>
        <w:t>kuna</w:t>
      </w:r>
      <w:r w:rsidRPr="00D42A73">
        <w:rPr>
          <w:bCs/>
        </w:rPr>
        <w:t xml:space="preserve"> </w:t>
      </w:r>
      <w:r w:rsidRPr="00D42A73">
        <w:t>odnosi se na obvezu za sve tu</w:t>
      </w:r>
      <w:r w:rsidR="004F729D" w:rsidRPr="00D42A73">
        <w:t>zemne obvez</w:t>
      </w:r>
      <w:r w:rsidR="00C94060" w:rsidRPr="00D42A73">
        <w:t>nice izdane do 31. prosinca 2021</w:t>
      </w:r>
      <w:r w:rsidRPr="00D42A73">
        <w:t xml:space="preserve">. </w:t>
      </w:r>
      <w:r w:rsidR="00C85DCC">
        <w:t>U Tablici 8</w:t>
      </w:r>
      <w:r w:rsidRPr="00D42A73">
        <w:t>. dan je prikaz aktivnih obveznica izdanih na domaćem tržištu kapitala na dan 31</w:t>
      </w:r>
      <w:r w:rsidR="00A90942" w:rsidRPr="00D42A73">
        <w:t>.</w:t>
      </w:r>
      <w:r w:rsidR="00C94060" w:rsidRPr="00D42A73">
        <w:t xml:space="preserve"> prosinca 2021</w:t>
      </w:r>
      <w:r w:rsidRPr="00D42A73">
        <w:t>. s uvjetima izdanja, datumom izdan</w:t>
      </w:r>
      <w:r w:rsidR="00E814A0" w:rsidRPr="00D42A73">
        <w:t>j</w:t>
      </w:r>
      <w:r w:rsidRPr="00D42A73">
        <w:t>a te datumom dospijeća.</w:t>
      </w:r>
    </w:p>
    <w:p w14:paraId="7A88A8E1" w14:textId="77777777" w:rsidR="00CF385E" w:rsidRDefault="00CF385E" w:rsidP="00977769">
      <w:pPr>
        <w:jc w:val="both"/>
      </w:pPr>
    </w:p>
    <w:p w14:paraId="74BF73A5" w14:textId="77777777" w:rsidR="005543A8" w:rsidRPr="00D42A73" w:rsidRDefault="005543A8" w:rsidP="00977769">
      <w:pPr>
        <w:jc w:val="both"/>
      </w:pPr>
    </w:p>
    <w:p w14:paraId="48E4BA86" w14:textId="20B0B3F2" w:rsidR="004F729D" w:rsidRPr="00D42A73" w:rsidRDefault="004A73A4" w:rsidP="00CF385E">
      <w:pPr>
        <w:keepNext/>
        <w:jc w:val="both"/>
        <w:rPr>
          <w:b/>
          <w:sz w:val="20"/>
          <w:szCs w:val="20"/>
        </w:rPr>
      </w:pPr>
      <w:r>
        <w:rPr>
          <w:b/>
          <w:sz w:val="20"/>
          <w:szCs w:val="20"/>
        </w:rPr>
        <w:t>Tablica 8</w:t>
      </w:r>
      <w:r w:rsidR="00977769" w:rsidRPr="00D42A73">
        <w:rPr>
          <w:b/>
          <w:sz w:val="20"/>
          <w:szCs w:val="20"/>
        </w:rPr>
        <w:t xml:space="preserve">. </w:t>
      </w:r>
    </w:p>
    <w:tbl>
      <w:tblPr>
        <w:tblW w:w="9744" w:type="dxa"/>
        <w:tblLook w:val="04A0" w:firstRow="1" w:lastRow="0" w:firstColumn="1" w:lastColumn="0" w:noHBand="0" w:noVBand="1"/>
      </w:tblPr>
      <w:tblGrid>
        <w:gridCol w:w="1028"/>
        <w:gridCol w:w="4326"/>
        <w:gridCol w:w="794"/>
        <w:gridCol w:w="1716"/>
        <w:gridCol w:w="1880"/>
      </w:tblGrid>
      <w:tr w:rsidR="00C94060" w:rsidRPr="007F2D4C" w14:paraId="4A72C81A" w14:textId="77777777" w:rsidTr="00A81FEF">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A48A5" w14:textId="77777777" w:rsidR="00C94060" w:rsidRPr="007F2D4C" w:rsidRDefault="00C94060">
            <w:pPr>
              <w:jc w:val="center"/>
              <w:rPr>
                <w:b/>
                <w:bCs/>
                <w:sz w:val="20"/>
                <w:szCs w:val="20"/>
              </w:rPr>
            </w:pPr>
            <w:r w:rsidRPr="007F2D4C">
              <w:rPr>
                <w:b/>
                <w:bCs/>
                <w:sz w:val="20"/>
                <w:szCs w:val="20"/>
              </w:rPr>
              <w:t>Red. broj</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41BF39" w14:textId="77777777" w:rsidR="00C94060" w:rsidRPr="007F2D4C" w:rsidRDefault="00C94060">
            <w:pPr>
              <w:jc w:val="center"/>
              <w:rPr>
                <w:b/>
                <w:bCs/>
                <w:sz w:val="20"/>
                <w:szCs w:val="20"/>
              </w:rPr>
            </w:pPr>
            <w:r w:rsidRPr="007F2D4C">
              <w:rPr>
                <w:b/>
                <w:bCs/>
                <w:sz w:val="20"/>
                <w:szCs w:val="20"/>
              </w:rPr>
              <w:t>Naziv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51F362" w14:textId="77777777" w:rsidR="00C94060" w:rsidRPr="007F2D4C" w:rsidRDefault="00C94060">
            <w:pPr>
              <w:jc w:val="center"/>
              <w:rPr>
                <w:b/>
                <w:bCs/>
                <w:sz w:val="20"/>
                <w:szCs w:val="20"/>
              </w:rPr>
            </w:pPr>
            <w:r w:rsidRPr="007F2D4C">
              <w:rPr>
                <w:b/>
                <w:bCs/>
                <w:sz w:val="20"/>
                <w:szCs w:val="20"/>
              </w:rPr>
              <w:t>Valuta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F2ABDF" w14:textId="77777777" w:rsidR="00C94060" w:rsidRPr="007F2D4C" w:rsidRDefault="00C94060">
            <w:pPr>
              <w:jc w:val="center"/>
              <w:rPr>
                <w:b/>
                <w:bCs/>
                <w:sz w:val="20"/>
                <w:szCs w:val="20"/>
              </w:rPr>
            </w:pPr>
            <w:r w:rsidRPr="007F2D4C">
              <w:rPr>
                <w:b/>
                <w:bCs/>
                <w:sz w:val="20"/>
                <w:szCs w:val="20"/>
              </w:rPr>
              <w:t>Stanje obveza na dan 31.12.2021. (</w:t>
            </w:r>
            <w:proofErr w:type="spellStart"/>
            <w:r w:rsidRPr="007F2D4C">
              <w:rPr>
                <w:b/>
                <w:bCs/>
                <w:sz w:val="20"/>
                <w:szCs w:val="20"/>
              </w:rPr>
              <w:t>org.val</w:t>
            </w:r>
            <w:proofErr w:type="spellEnd"/>
            <w:r w:rsidRPr="007F2D4C">
              <w:rPr>
                <w:b/>
                <w:bCs/>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3B88FD6" w14:textId="77777777" w:rsidR="00C94060" w:rsidRPr="007F2D4C" w:rsidRDefault="00C94060">
            <w:pPr>
              <w:jc w:val="center"/>
              <w:rPr>
                <w:b/>
                <w:bCs/>
                <w:sz w:val="20"/>
                <w:szCs w:val="20"/>
              </w:rPr>
            </w:pPr>
            <w:r w:rsidRPr="007F2D4C">
              <w:rPr>
                <w:b/>
                <w:bCs/>
                <w:sz w:val="20"/>
                <w:szCs w:val="20"/>
              </w:rPr>
              <w:t>Stanje obveza na 31.12.2021. u kunama</w:t>
            </w:r>
          </w:p>
        </w:tc>
      </w:tr>
      <w:tr w:rsidR="00C94060" w:rsidRPr="007F2D4C" w14:paraId="68FBA69B"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73729A" w14:textId="77777777" w:rsidR="00C94060" w:rsidRPr="007F2D4C" w:rsidRDefault="00C94060">
            <w:pPr>
              <w:jc w:val="center"/>
              <w:rPr>
                <w:sz w:val="20"/>
                <w:szCs w:val="20"/>
              </w:rPr>
            </w:pPr>
            <w:r w:rsidRPr="007F2D4C">
              <w:rPr>
                <w:sz w:val="20"/>
                <w:szCs w:val="20"/>
              </w:rPr>
              <w:t>1.</w:t>
            </w:r>
          </w:p>
        </w:tc>
        <w:tc>
          <w:tcPr>
            <w:tcW w:w="0" w:type="auto"/>
            <w:tcBorders>
              <w:top w:val="nil"/>
              <w:left w:val="nil"/>
              <w:bottom w:val="nil"/>
              <w:right w:val="single" w:sz="4" w:space="0" w:color="auto"/>
            </w:tcBorders>
            <w:shd w:val="clear" w:color="auto" w:fill="auto"/>
            <w:noWrap/>
            <w:vAlign w:val="center"/>
            <w:hideMark/>
          </w:tcPr>
          <w:p w14:paraId="580039A9" w14:textId="77777777" w:rsidR="00C94060" w:rsidRPr="007F2D4C" w:rsidRDefault="00C94060">
            <w:pPr>
              <w:rPr>
                <w:sz w:val="20"/>
                <w:szCs w:val="20"/>
              </w:rPr>
            </w:pPr>
            <w:r w:rsidRPr="007F2D4C">
              <w:rPr>
                <w:sz w:val="20"/>
                <w:szCs w:val="20"/>
              </w:rPr>
              <w:t>Obveznice - Serija 17 D-22</w:t>
            </w:r>
          </w:p>
        </w:tc>
        <w:tc>
          <w:tcPr>
            <w:tcW w:w="0" w:type="auto"/>
            <w:tcBorders>
              <w:top w:val="nil"/>
              <w:left w:val="nil"/>
              <w:bottom w:val="nil"/>
              <w:right w:val="single" w:sz="4" w:space="0" w:color="auto"/>
            </w:tcBorders>
            <w:shd w:val="clear" w:color="auto" w:fill="auto"/>
            <w:noWrap/>
            <w:vAlign w:val="center"/>
            <w:hideMark/>
          </w:tcPr>
          <w:p w14:paraId="1BB0FFAF" w14:textId="77777777" w:rsidR="00C94060" w:rsidRPr="007F2D4C" w:rsidRDefault="00C94060">
            <w:pPr>
              <w:jc w:val="center"/>
              <w:rPr>
                <w:sz w:val="20"/>
                <w:szCs w:val="20"/>
              </w:rPr>
            </w:pPr>
            <w:r w:rsidRPr="007F2D4C">
              <w:rPr>
                <w:sz w:val="20"/>
                <w:szCs w:val="20"/>
              </w:rPr>
              <w:t>EUR</w:t>
            </w:r>
          </w:p>
        </w:tc>
        <w:tc>
          <w:tcPr>
            <w:tcW w:w="0" w:type="auto"/>
            <w:tcBorders>
              <w:top w:val="nil"/>
              <w:left w:val="nil"/>
              <w:bottom w:val="nil"/>
              <w:right w:val="single" w:sz="4" w:space="0" w:color="auto"/>
            </w:tcBorders>
            <w:shd w:val="clear" w:color="auto" w:fill="auto"/>
            <w:noWrap/>
            <w:vAlign w:val="center"/>
            <w:hideMark/>
          </w:tcPr>
          <w:p w14:paraId="704D96A4" w14:textId="77777777" w:rsidR="00C94060" w:rsidRPr="007F2D4C" w:rsidRDefault="00C94060">
            <w:pPr>
              <w:jc w:val="right"/>
              <w:rPr>
                <w:sz w:val="20"/>
                <w:szCs w:val="20"/>
              </w:rPr>
            </w:pPr>
            <w:r w:rsidRPr="007F2D4C">
              <w:rPr>
                <w:sz w:val="20"/>
                <w:szCs w:val="20"/>
              </w:rPr>
              <w:t>1.000.000.000,00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6B990903" w14:textId="77777777" w:rsidR="00C94060" w:rsidRPr="007F2D4C" w:rsidRDefault="00C94060">
            <w:pPr>
              <w:jc w:val="right"/>
              <w:rPr>
                <w:sz w:val="20"/>
                <w:szCs w:val="20"/>
              </w:rPr>
            </w:pPr>
            <w:r w:rsidRPr="007F2D4C">
              <w:rPr>
                <w:sz w:val="20"/>
                <w:szCs w:val="20"/>
              </w:rPr>
              <w:t>7.517.170.000,00</w:t>
            </w:r>
          </w:p>
        </w:tc>
      </w:tr>
      <w:tr w:rsidR="00C94060" w:rsidRPr="007F2D4C" w14:paraId="46611606"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38584" w14:textId="77777777" w:rsidR="00C94060" w:rsidRPr="007F2D4C" w:rsidRDefault="00C94060">
            <w:pPr>
              <w:jc w:val="center"/>
              <w:rPr>
                <w:sz w:val="20"/>
                <w:szCs w:val="20"/>
              </w:rPr>
            </w:pPr>
            <w:r w:rsidRPr="007F2D4C">
              <w:rPr>
                <w:sz w:val="20"/>
                <w:szCs w:val="20"/>
              </w:rPr>
              <w:t>2.</w:t>
            </w:r>
          </w:p>
        </w:tc>
        <w:tc>
          <w:tcPr>
            <w:tcW w:w="0" w:type="auto"/>
            <w:tcBorders>
              <w:top w:val="single" w:sz="4" w:space="0" w:color="auto"/>
              <w:left w:val="nil"/>
              <w:bottom w:val="nil"/>
              <w:right w:val="single" w:sz="4" w:space="0" w:color="auto"/>
            </w:tcBorders>
            <w:shd w:val="clear" w:color="auto" w:fill="auto"/>
            <w:noWrap/>
            <w:vAlign w:val="center"/>
            <w:hideMark/>
          </w:tcPr>
          <w:p w14:paraId="6895E06F" w14:textId="77777777" w:rsidR="00C94060" w:rsidRPr="007F2D4C" w:rsidRDefault="00C94060">
            <w:pPr>
              <w:rPr>
                <w:sz w:val="20"/>
                <w:szCs w:val="20"/>
              </w:rPr>
            </w:pPr>
            <w:r w:rsidRPr="007F2D4C">
              <w:rPr>
                <w:sz w:val="20"/>
                <w:szCs w:val="20"/>
              </w:rPr>
              <w:t>Obveznice - Serija 19 D-24</w:t>
            </w:r>
          </w:p>
        </w:tc>
        <w:tc>
          <w:tcPr>
            <w:tcW w:w="0" w:type="auto"/>
            <w:tcBorders>
              <w:top w:val="single" w:sz="4" w:space="0" w:color="auto"/>
              <w:left w:val="nil"/>
              <w:bottom w:val="nil"/>
              <w:right w:val="single" w:sz="4" w:space="0" w:color="auto"/>
            </w:tcBorders>
            <w:shd w:val="clear" w:color="auto" w:fill="auto"/>
            <w:noWrap/>
            <w:vAlign w:val="center"/>
            <w:hideMark/>
          </w:tcPr>
          <w:p w14:paraId="58CFE71A" w14:textId="77777777" w:rsidR="00C94060" w:rsidRPr="007F2D4C" w:rsidRDefault="00C94060">
            <w:pPr>
              <w:jc w:val="center"/>
              <w:rPr>
                <w:sz w:val="20"/>
                <w:szCs w:val="20"/>
              </w:rPr>
            </w:pPr>
            <w:r w:rsidRPr="007F2D4C">
              <w:rPr>
                <w:sz w:val="20"/>
                <w:szCs w:val="20"/>
              </w:rPr>
              <w:t>EUR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E1B60C" w14:textId="77777777" w:rsidR="00C94060" w:rsidRPr="007F2D4C" w:rsidRDefault="00C94060">
            <w:pPr>
              <w:jc w:val="right"/>
              <w:rPr>
                <w:sz w:val="20"/>
                <w:szCs w:val="20"/>
              </w:rPr>
            </w:pPr>
            <w:r w:rsidRPr="007F2D4C">
              <w:rPr>
                <w:sz w:val="20"/>
                <w:szCs w:val="20"/>
              </w:rPr>
              <w:t>1.400.000.000,00</w:t>
            </w:r>
          </w:p>
        </w:tc>
        <w:tc>
          <w:tcPr>
            <w:tcW w:w="1880" w:type="dxa"/>
            <w:tcBorders>
              <w:top w:val="nil"/>
              <w:left w:val="nil"/>
              <w:bottom w:val="single" w:sz="4" w:space="0" w:color="auto"/>
              <w:right w:val="single" w:sz="4" w:space="0" w:color="auto"/>
            </w:tcBorders>
            <w:shd w:val="clear" w:color="auto" w:fill="auto"/>
            <w:noWrap/>
            <w:vAlign w:val="center"/>
            <w:hideMark/>
          </w:tcPr>
          <w:p w14:paraId="0011CFE4" w14:textId="77777777" w:rsidR="00C94060" w:rsidRPr="007F2D4C" w:rsidRDefault="00C94060">
            <w:pPr>
              <w:jc w:val="right"/>
              <w:rPr>
                <w:sz w:val="20"/>
                <w:szCs w:val="20"/>
              </w:rPr>
            </w:pPr>
            <w:r w:rsidRPr="007F2D4C">
              <w:rPr>
                <w:sz w:val="20"/>
                <w:szCs w:val="20"/>
              </w:rPr>
              <w:t>10.524.038.000,00</w:t>
            </w:r>
          </w:p>
        </w:tc>
      </w:tr>
      <w:tr w:rsidR="00C94060" w:rsidRPr="007F2D4C" w14:paraId="0F577FC1"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6C6DD" w14:textId="77777777" w:rsidR="00C94060" w:rsidRPr="007F2D4C" w:rsidRDefault="00C94060">
            <w:pPr>
              <w:jc w:val="center"/>
              <w:rPr>
                <w:sz w:val="20"/>
                <w:szCs w:val="20"/>
              </w:rPr>
            </w:pPr>
            <w:r w:rsidRPr="007F2D4C">
              <w:rPr>
                <w:sz w:val="20"/>
                <w:szCs w:val="20"/>
              </w:rPr>
              <w:t>3.</w:t>
            </w:r>
          </w:p>
        </w:tc>
        <w:tc>
          <w:tcPr>
            <w:tcW w:w="0" w:type="auto"/>
            <w:tcBorders>
              <w:top w:val="single" w:sz="4" w:space="0" w:color="auto"/>
              <w:left w:val="nil"/>
              <w:bottom w:val="nil"/>
              <w:right w:val="single" w:sz="4" w:space="0" w:color="auto"/>
            </w:tcBorders>
            <w:shd w:val="clear" w:color="auto" w:fill="auto"/>
            <w:noWrap/>
            <w:vAlign w:val="center"/>
            <w:hideMark/>
          </w:tcPr>
          <w:p w14:paraId="5457D5DD" w14:textId="77777777" w:rsidR="00C94060" w:rsidRPr="007F2D4C" w:rsidRDefault="00C94060">
            <w:pPr>
              <w:rPr>
                <w:sz w:val="20"/>
                <w:szCs w:val="20"/>
              </w:rPr>
            </w:pPr>
            <w:r w:rsidRPr="007F2D4C">
              <w:rPr>
                <w:sz w:val="20"/>
                <w:szCs w:val="20"/>
              </w:rPr>
              <w:t>Obveznice - Serija 20 D-25</w:t>
            </w:r>
          </w:p>
        </w:tc>
        <w:tc>
          <w:tcPr>
            <w:tcW w:w="0" w:type="auto"/>
            <w:tcBorders>
              <w:top w:val="single" w:sz="4" w:space="0" w:color="auto"/>
              <w:left w:val="nil"/>
              <w:bottom w:val="nil"/>
              <w:right w:val="single" w:sz="4" w:space="0" w:color="auto"/>
            </w:tcBorders>
            <w:shd w:val="clear" w:color="auto" w:fill="auto"/>
            <w:noWrap/>
            <w:vAlign w:val="center"/>
            <w:hideMark/>
          </w:tcPr>
          <w:p w14:paraId="48B4675C"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4BEE19B9" w14:textId="77777777" w:rsidR="00C94060" w:rsidRPr="007F2D4C" w:rsidRDefault="00C94060">
            <w:pPr>
              <w:jc w:val="right"/>
              <w:rPr>
                <w:sz w:val="20"/>
                <w:szCs w:val="20"/>
              </w:rPr>
            </w:pPr>
            <w:r w:rsidRPr="007F2D4C">
              <w:rPr>
                <w:sz w:val="20"/>
                <w:szCs w:val="20"/>
              </w:rPr>
              <w:t>6.000.000.000,00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085DBE3B" w14:textId="77777777" w:rsidR="00C94060" w:rsidRPr="007F2D4C" w:rsidRDefault="00C94060">
            <w:pPr>
              <w:jc w:val="right"/>
              <w:rPr>
                <w:sz w:val="20"/>
                <w:szCs w:val="20"/>
              </w:rPr>
            </w:pPr>
            <w:r w:rsidRPr="007F2D4C">
              <w:rPr>
                <w:sz w:val="20"/>
                <w:szCs w:val="20"/>
              </w:rPr>
              <w:t>6.000.000.000,00</w:t>
            </w:r>
          </w:p>
        </w:tc>
      </w:tr>
      <w:tr w:rsidR="00C94060" w:rsidRPr="007F2D4C" w14:paraId="2CA05B5F"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CC9EF" w14:textId="77777777" w:rsidR="00C94060" w:rsidRPr="007F2D4C" w:rsidRDefault="00C94060">
            <w:pPr>
              <w:jc w:val="center"/>
              <w:rPr>
                <w:sz w:val="20"/>
                <w:szCs w:val="20"/>
              </w:rPr>
            </w:pPr>
            <w:r w:rsidRPr="007F2D4C">
              <w:rPr>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6B9FDB" w14:textId="77777777" w:rsidR="00C94060" w:rsidRPr="007F2D4C" w:rsidRDefault="00C94060">
            <w:pPr>
              <w:rPr>
                <w:sz w:val="20"/>
                <w:szCs w:val="20"/>
              </w:rPr>
            </w:pPr>
            <w:r w:rsidRPr="007F2D4C">
              <w:rPr>
                <w:sz w:val="20"/>
                <w:szCs w:val="20"/>
              </w:rPr>
              <w:t>Obveznice - Serija 21 D-26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E059B7"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5DDEB46B" w14:textId="77777777" w:rsidR="00C94060" w:rsidRPr="007F2D4C" w:rsidRDefault="00C94060">
            <w:pPr>
              <w:jc w:val="right"/>
              <w:rPr>
                <w:sz w:val="20"/>
                <w:szCs w:val="20"/>
              </w:rPr>
            </w:pPr>
            <w:r w:rsidRPr="007F2D4C">
              <w:rPr>
                <w:sz w:val="20"/>
                <w:szCs w:val="20"/>
              </w:rPr>
              <w:t>12.460.000.000,00</w:t>
            </w:r>
          </w:p>
        </w:tc>
        <w:tc>
          <w:tcPr>
            <w:tcW w:w="1880" w:type="dxa"/>
            <w:tcBorders>
              <w:top w:val="nil"/>
              <w:left w:val="nil"/>
              <w:bottom w:val="single" w:sz="4" w:space="0" w:color="auto"/>
              <w:right w:val="single" w:sz="4" w:space="0" w:color="auto"/>
            </w:tcBorders>
            <w:shd w:val="clear" w:color="auto" w:fill="auto"/>
            <w:noWrap/>
            <w:vAlign w:val="center"/>
            <w:hideMark/>
          </w:tcPr>
          <w:p w14:paraId="43BC5F49" w14:textId="77777777" w:rsidR="00C94060" w:rsidRPr="007F2D4C" w:rsidRDefault="00C94060">
            <w:pPr>
              <w:jc w:val="right"/>
              <w:rPr>
                <w:sz w:val="20"/>
                <w:szCs w:val="20"/>
              </w:rPr>
            </w:pPr>
            <w:r w:rsidRPr="007F2D4C">
              <w:rPr>
                <w:sz w:val="20"/>
                <w:szCs w:val="20"/>
              </w:rPr>
              <w:t>12.460.000.000,00</w:t>
            </w:r>
          </w:p>
        </w:tc>
      </w:tr>
      <w:tr w:rsidR="00C94060" w:rsidRPr="007F2D4C" w14:paraId="2F4F72DB"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DE1BEA" w14:textId="77777777" w:rsidR="00C94060" w:rsidRPr="007F2D4C" w:rsidRDefault="00C94060">
            <w:pPr>
              <w:jc w:val="center"/>
              <w:rPr>
                <w:sz w:val="20"/>
                <w:szCs w:val="20"/>
              </w:rPr>
            </w:pPr>
            <w:r w:rsidRPr="007F2D4C">
              <w:rPr>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9E18FA9" w14:textId="77777777" w:rsidR="00C94060" w:rsidRPr="007F2D4C" w:rsidRDefault="00C94060">
            <w:pPr>
              <w:rPr>
                <w:sz w:val="20"/>
                <w:szCs w:val="20"/>
              </w:rPr>
            </w:pPr>
            <w:r w:rsidRPr="007F2D4C">
              <w:rPr>
                <w:sz w:val="20"/>
                <w:szCs w:val="20"/>
              </w:rPr>
              <w:t>Obveznice - Serija 23 D-22</w:t>
            </w:r>
          </w:p>
        </w:tc>
        <w:tc>
          <w:tcPr>
            <w:tcW w:w="0" w:type="auto"/>
            <w:tcBorders>
              <w:top w:val="nil"/>
              <w:left w:val="nil"/>
              <w:bottom w:val="single" w:sz="4" w:space="0" w:color="auto"/>
              <w:right w:val="single" w:sz="4" w:space="0" w:color="auto"/>
            </w:tcBorders>
            <w:shd w:val="clear" w:color="auto" w:fill="auto"/>
            <w:noWrap/>
            <w:vAlign w:val="center"/>
            <w:hideMark/>
          </w:tcPr>
          <w:p w14:paraId="6D513450"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5F50CCCF" w14:textId="77777777" w:rsidR="00C94060" w:rsidRPr="007F2D4C" w:rsidRDefault="00C94060">
            <w:pPr>
              <w:jc w:val="right"/>
              <w:rPr>
                <w:sz w:val="20"/>
                <w:szCs w:val="20"/>
              </w:rPr>
            </w:pPr>
            <w:r w:rsidRPr="007F2D4C">
              <w:rPr>
                <w:sz w:val="20"/>
                <w:szCs w:val="20"/>
              </w:rPr>
              <w:t>3.000.000.000,00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39CE02D5" w14:textId="77777777" w:rsidR="00C94060" w:rsidRPr="007F2D4C" w:rsidRDefault="00C94060">
            <w:pPr>
              <w:jc w:val="right"/>
              <w:rPr>
                <w:sz w:val="20"/>
                <w:szCs w:val="20"/>
              </w:rPr>
            </w:pPr>
            <w:r w:rsidRPr="007F2D4C">
              <w:rPr>
                <w:sz w:val="20"/>
                <w:szCs w:val="20"/>
              </w:rPr>
              <w:t>3.000.000.000,00</w:t>
            </w:r>
          </w:p>
        </w:tc>
      </w:tr>
      <w:tr w:rsidR="00C94060" w:rsidRPr="007F2D4C" w14:paraId="45AC1B3B"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60E5B" w14:textId="77777777" w:rsidR="00C94060" w:rsidRPr="007F2D4C" w:rsidRDefault="00C94060">
            <w:pPr>
              <w:jc w:val="center"/>
              <w:rPr>
                <w:sz w:val="20"/>
                <w:szCs w:val="20"/>
              </w:rPr>
            </w:pPr>
            <w:r w:rsidRPr="007F2D4C">
              <w:rPr>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1B9187E3" w14:textId="77777777" w:rsidR="00C94060" w:rsidRPr="007F2D4C" w:rsidRDefault="00C94060">
            <w:pPr>
              <w:rPr>
                <w:sz w:val="20"/>
                <w:szCs w:val="20"/>
              </w:rPr>
            </w:pPr>
            <w:r w:rsidRPr="007F2D4C">
              <w:rPr>
                <w:sz w:val="20"/>
                <w:szCs w:val="20"/>
              </w:rPr>
              <w:t>Obveznice - Serija 24 D-28</w:t>
            </w:r>
          </w:p>
        </w:tc>
        <w:tc>
          <w:tcPr>
            <w:tcW w:w="0" w:type="auto"/>
            <w:tcBorders>
              <w:top w:val="nil"/>
              <w:left w:val="nil"/>
              <w:bottom w:val="single" w:sz="4" w:space="0" w:color="auto"/>
              <w:right w:val="single" w:sz="4" w:space="0" w:color="auto"/>
            </w:tcBorders>
            <w:shd w:val="clear" w:color="auto" w:fill="auto"/>
            <w:noWrap/>
            <w:vAlign w:val="center"/>
            <w:hideMark/>
          </w:tcPr>
          <w:p w14:paraId="3916C63D"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39BFE388" w14:textId="77777777" w:rsidR="00C94060" w:rsidRPr="007F2D4C" w:rsidRDefault="00C94060">
            <w:pPr>
              <w:jc w:val="right"/>
              <w:rPr>
                <w:sz w:val="20"/>
                <w:szCs w:val="20"/>
              </w:rPr>
            </w:pPr>
            <w:r w:rsidRPr="007F2D4C">
              <w:rPr>
                <w:sz w:val="20"/>
                <w:szCs w:val="20"/>
              </w:rPr>
              <w:t>8.090.000.000,00</w:t>
            </w:r>
          </w:p>
        </w:tc>
        <w:tc>
          <w:tcPr>
            <w:tcW w:w="1880" w:type="dxa"/>
            <w:tcBorders>
              <w:top w:val="nil"/>
              <w:left w:val="nil"/>
              <w:bottom w:val="single" w:sz="4" w:space="0" w:color="auto"/>
              <w:right w:val="single" w:sz="4" w:space="0" w:color="auto"/>
            </w:tcBorders>
            <w:shd w:val="clear" w:color="auto" w:fill="auto"/>
            <w:noWrap/>
            <w:vAlign w:val="center"/>
            <w:hideMark/>
          </w:tcPr>
          <w:p w14:paraId="1188BC4A" w14:textId="77777777" w:rsidR="00C94060" w:rsidRPr="007F2D4C" w:rsidRDefault="00C94060">
            <w:pPr>
              <w:jc w:val="right"/>
              <w:rPr>
                <w:sz w:val="20"/>
                <w:szCs w:val="20"/>
              </w:rPr>
            </w:pPr>
            <w:r w:rsidRPr="007F2D4C">
              <w:rPr>
                <w:sz w:val="20"/>
                <w:szCs w:val="20"/>
              </w:rPr>
              <w:t>8.090.000.000,00</w:t>
            </w:r>
          </w:p>
        </w:tc>
      </w:tr>
      <w:tr w:rsidR="00C94060" w:rsidRPr="007F2D4C" w14:paraId="007561AE"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D70AF" w14:textId="77777777" w:rsidR="00C94060" w:rsidRPr="007F2D4C" w:rsidRDefault="00C94060">
            <w:pPr>
              <w:jc w:val="center"/>
              <w:rPr>
                <w:sz w:val="20"/>
                <w:szCs w:val="20"/>
              </w:rPr>
            </w:pPr>
            <w:r w:rsidRPr="007F2D4C">
              <w:rPr>
                <w:sz w:val="20"/>
                <w:szCs w:val="20"/>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F8EA01" w14:textId="77777777" w:rsidR="00C94060" w:rsidRPr="007F2D4C" w:rsidRDefault="00C94060">
            <w:pPr>
              <w:rPr>
                <w:sz w:val="20"/>
                <w:szCs w:val="20"/>
              </w:rPr>
            </w:pPr>
            <w:r w:rsidRPr="007F2D4C">
              <w:rPr>
                <w:sz w:val="20"/>
                <w:szCs w:val="20"/>
              </w:rPr>
              <w:t xml:space="preserve">Obveznice - Serija 25 D-32 Indeksirane HRK/EUR </w:t>
            </w:r>
          </w:p>
        </w:tc>
        <w:tc>
          <w:tcPr>
            <w:tcW w:w="0" w:type="auto"/>
            <w:tcBorders>
              <w:top w:val="nil"/>
              <w:left w:val="nil"/>
              <w:bottom w:val="single" w:sz="4" w:space="0" w:color="auto"/>
              <w:right w:val="single" w:sz="4" w:space="0" w:color="auto"/>
            </w:tcBorders>
            <w:shd w:val="clear" w:color="auto" w:fill="auto"/>
            <w:noWrap/>
            <w:vAlign w:val="center"/>
            <w:hideMark/>
          </w:tcPr>
          <w:p w14:paraId="3835E8BA"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072E0289" w14:textId="77777777" w:rsidR="00C94060" w:rsidRPr="007F2D4C" w:rsidRDefault="00C94060">
            <w:pPr>
              <w:jc w:val="right"/>
              <w:rPr>
                <w:sz w:val="20"/>
                <w:szCs w:val="20"/>
              </w:rPr>
            </w:pPr>
            <w:r w:rsidRPr="007F2D4C">
              <w:rPr>
                <w:sz w:val="20"/>
                <w:szCs w:val="20"/>
              </w:rPr>
              <w:t>3.000.000.000,00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0B2408E1" w14:textId="77777777" w:rsidR="00C94060" w:rsidRPr="007F2D4C" w:rsidRDefault="00C94060">
            <w:pPr>
              <w:jc w:val="right"/>
              <w:rPr>
                <w:sz w:val="20"/>
                <w:szCs w:val="20"/>
              </w:rPr>
            </w:pPr>
            <w:r w:rsidRPr="007F2D4C">
              <w:rPr>
                <w:sz w:val="20"/>
                <w:szCs w:val="20"/>
              </w:rPr>
              <w:t>3.000.000.000,00</w:t>
            </w:r>
          </w:p>
        </w:tc>
      </w:tr>
      <w:tr w:rsidR="00C94060" w:rsidRPr="007F2D4C" w14:paraId="1F5ECD97"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30FDB2" w14:textId="77777777" w:rsidR="00C94060" w:rsidRPr="007F2D4C" w:rsidRDefault="00C94060">
            <w:pPr>
              <w:jc w:val="center"/>
              <w:rPr>
                <w:sz w:val="20"/>
                <w:szCs w:val="20"/>
              </w:rPr>
            </w:pPr>
            <w:r w:rsidRPr="007F2D4C">
              <w:rPr>
                <w:sz w:val="20"/>
                <w:szCs w:val="20"/>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8152F6" w14:textId="77777777" w:rsidR="00C94060" w:rsidRPr="007F2D4C" w:rsidRDefault="00C94060">
            <w:pPr>
              <w:rPr>
                <w:sz w:val="20"/>
                <w:szCs w:val="20"/>
              </w:rPr>
            </w:pPr>
            <w:r w:rsidRPr="007F2D4C">
              <w:rPr>
                <w:sz w:val="20"/>
                <w:szCs w:val="20"/>
              </w:rPr>
              <w:t>Obveznice - Serija 26 D-23</w:t>
            </w:r>
          </w:p>
        </w:tc>
        <w:tc>
          <w:tcPr>
            <w:tcW w:w="0" w:type="auto"/>
            <w:tcBorders>
              <w:top w:val="nil"/>
              <w:left w:val="nil"/>
              <w:bottom w:val="single" w:sz="4" w:space="0" w:color="auto"/>
              <w:right w:val="single" w:sz="4" w:space="0" w:color="auto"/>
            </w:tcBorders>
            <w:shd w:val="clear" w:color="auto" w:fill="auto"/>
            <w:noWrap/>
            <w:vAlign w:val="center"/>
            <w:hideMark/>
          </w:tcPr>
          <w:p w14:paraId="28585650"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5FF3F9F7" w14:textId="77777777" w:rsidR="00C94060" w:rsidRPr="007F2D4C" w:rsidRDefault="00C94060">
            <w:pPr>
              <w:jc w:val="right"/>
              <w:rPr>
                <w:sz w:val="20"/>
                <w:szCs w:val="20"/>
              </w:rPr>
            </w:pPr>
            <w:r w:rsidRPr="007F2D4C">
              <w:rPr>
                <w:sz w:val="20"/>
                <w:szCs w:val="20"/>
              </w:rPr>
              <w:t>11.300.000.000,00</w:t>
            </w:r>
          </w:p>
        </w:tc>
        <w:tc>
          <w:tcPr>
            <w:tcW w:w="1880" w:type="dxa"/>
            <w:tcBorders>
              <w:top w:val="nil"/>
              <w:left w:val="nil"/>
              <w:bottom w:val="single" w:sz="4" w:space="0" w:color="auto"/>
              <w:right w:val="single" w:sz="4" w:space="0" w:color="auto"/>
            </w:tcBorders>
            <w:shd w:val="clear" w:color="auto" w:fill="auto"/>
            <w:noWrap/>
            <w:vAlign w:val="center"/>
            <w:hideMark/>
          </w:tcPr>
          <w:p w14:paraId="2DC95215" w14:textId="77777777" w:rsidR="00C94060" w:rsidRPr="007F2D4C" w:rsidRDefault="00C94060">
            <w:pPr>
              <w:jc w:val="right"/>
              <w:rPr>
                <w:sz w:val="20"/>
                <w:szCs w:val="20"/>
              </w:rPr>
            </w:pPr>
            <w:r w:rsidRPr="007F2D4C">
              <w:rPr>
                <w:sz w:val="20"/>
                <w:szCs w:val="20"/>
              </w:rPr>
              <w:t>11.300.000.000,00</w:t>
            </w:r>
          </w:p>
        </w:tc>
      </w:tr>
      <w:tr w:rsidR="00C94060" w:rsidRPr="007F2D4C" w14:paraId="7C937D88"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01EB28" w14:textId="77777777" w:rsidR="00C94060" w:rsidRPr="007F2D4C" w:rsidRDefault="00C94060">
            <w:pPr>
              <w:jc w:val="center"/>
              <w:rPr>
                <w:sz w:val="20"/>
                <w:szCs w:val="20"/>
              </w:rPr>
            </w:pPr>
            <w:r w:rsidRPr="007F2D4C">
              <w:rPr>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14:paraId="4BA71414" w14:textId="77777777" w:rsidR="00C94060" w:rsidRPr="007F2D4C" w:rsidRDefault="00C94060">
            <w:pPr>
              <w:rPr>
                <w:sz w:val="20"/>
                <w:szCs w:val="20"/>
              </w:rPr>
            </w:pPr>
            <w:r w:rsidRPr="007F2D4C">
              <w:rPr>
                <w:sz w:val="20"/>
                <w:szCs w:val="20"/>
              </w:rPr>
              <w:t>Obveznice - Serija 27 D-29</w:t>
            </w:r>
          </w:p>
        </w:tc>
        <w:tc>
          <w:tcPr>
            <w:tcW w:w="0" w:type="auto"/>
            <w:tcBorders>
              <w:top w:val="nil"/>
              <w:left w:val="nil"/>
              <w:bottom w:val="single" w:sz="4" w:space="0" w:color="auto"/>
              <w:right w:val="single" w:sz="4" w:space="0" w:color="auto"/>
            </w:tcBorders>
            <w:shd w:val="clear" w:color="auto" w:fill="auto"/>
            <w:noWrap/>
            <w:vAlign w:val="center"/>
            <w:hideMark/>
          </w:tcPr>
          <w:p w14:paraId="63BA2618"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775456F5" w14:textId="77777777" w:rsidR="00C94060" w:rsidRPr="007F2D4C" w:rsidRDefault="00C94060">
            <w:pPr>
              <w:jc w:val="right"/>
              <w:rPr>
                <w:sz w:val="20"/>
                <w:szCs w:val="20"/>
              </w:rPr>
            </w:pPr>
            <w:r w:rsidRPr="007F2D4C">
              <w:rPr>
                <w:sz w:val="20"/>
                <w:szCs w:val="20"/>
              </w:rPr>
              <w:t>10.000.000.000,00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7998F8F3" w14:textId="77777777" w:rsidR="00C94060" w:rsidRPr="007F2D4C" w:rsidRDefault="00C94060">
            <w:pPr>
              <w:jc w:val="right"/>
              <w:rPr>
                <w:sz w:val="20"/>
                <w:szCs w:val="20"/>
              </w:rPr>
            </w:pPr>
            <w:r w:rsidRPr="007F2D4C">
              <w:rPr>
                <w:sz w:val="20"/>
                <w:szCs w:val="20"/>
              </w:rPr>
              <w:t>10.000.000.000,00</w:t>
            </w:r>
          </w:p>
        </w:tc>
      </w:tr>
      <w:tr w:rsidR="00C94060" w:rsidRPr="007F2D4C" w14:paraId="11D3467E"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3C2F7" w14:textId="77777777" w:rsidR="00C94060" w:rsidRPr="007F2D4C" w:rsidRDefault="00C94060">
            <w:pPr>
              <w:jc w:val="center"/>
              <w:rPr>
                <w:sz w:val="20"/>
                <w:szCs w:val="20"/>
              </w:rPr>
            </w:pPr>
            <w:r w:rsidRPr="007F2D4C">
              <w:rPr>
                <w:sz w:val="20"/>
                <w:szCs w:val="20"/>
              </w:rPr>
              <w:t>10.</w:t>
            </w:r>
          </w:p>
        </w:tc>
        <w:tc>
          <w:tcPr>
            <w:tcW w:w="0" w:type="auto"/>
            <w:tcBorders>
              <w:top w:val="nil"/>
              <w:left w:val="nil"/>
              <w:bottom w:val="nil"/>
              <w:right w:val="single" w:sz="4" w:space="0" w:color="auto"/>
            </w:tcBorders>
            <w:shd w:val="clear" w:color="auto" w:fill="auto"/>
            <w:noWrap/>
            <w:vAlign w:val="center"/>
            <w:hideMark/>
          </w:tcPr>
          <w:p w14:paraId="5F9B619C" w14:textId="77777777" w:rsidR="00C94060" w:rsidRPr="007F2D4C" w:rsidRDefault="00C94060">
            <w:pPr>
              <w:rPr>
                <w:sz w:val="20"/>
                <w:szCs w:val="20"/>
              </w:rPr>
            </w:pPr>
            <w:r w:rsidRPr="007F2D4C">
              <w:rPr>
                <w:sz w:val="20"/>
                <w:szCs w:val="20"/>
              </w:rPr>
              <w:t>Obveznice - Serija 28 D-22</w:t>
            </w:r>
          </w:p>
        </w:tc>
        <w:tc>
          <w:tcPr>
            <w:tcW w:w="0" w:type="auto"/>
            <w:tcBorders>
              <w:top w:val="nil"/>
              <w:left w:val="nil"/>
              <w:bottom w:val="nil"/>
              <w:right w:val="single" w:sz="4" w:space="0" w:color="auto"/>
            </w:tcBorders>
            <w:shd w:val="clear" w:color="auto" w:fill="auto"/>
            <w:noWrap/>
            <w:vAlign w:val="center"/>
            <w:hideMark/>
          </w:tcPr>
          <w:p w14:paraId="66FC7C61" w14:textId="77777777" w:rsidR="00C94060" w:rsidRPr="007F2D4C" w:rsidRDefault="00C94060">
            <w:pPr>
              <w:jc w:val="center"/>
              <w:rPr>
                <w:sz w:val="20"/>
                <w:szCs w:val="20"/>
              </w:rPr>
            </w:pPr>
            <w:r w:rsidRPr="007F2D4C">
              <w:rPr>
                <w:sz w:val="20"/>
                <w:szCs w:val="20"/>
              </w:rPr>
              <w:t>EUR</w:t>
            </w:r>
          </w:p>
        </w:tc>
        <w:tc>
          <w:tcPr>
            <w:tcW w:w="0" w:type="auto"/>
            <w:tcBorders>
              <w:top w:val="nil"/>
              <w:left w:val="nil"/>
              <w:bottom w:val="single" w:sz="4" w:space="0" w:color="auto"/>
              <w:right w:val="single" w:sz="4" w:space="0" w:color="auto"/>
            </w:tcBorders>
            <w:shd w:val="clear" w:color="auto" w:fill="auto"/>
            <w:noWrap/>
            <w:vAlign w:val="center"/>
            <w:hideMark/>
          </w:tcPr>
          <w:p w14:paraId="7F3C85DA" w14:textId="77777777" w:rsidR="00C94060" w:rsidRPr="007F2D4C" w:rsidRDefault="00C94060">
            <w:pPr>
              <w:jc w:val="right"/>
              <w:rPr>
                <w:sz w:val="20"/>
                <w:szCs w:val="20"/>
              </w:rPr>
            </w:pPr>
            <w:r w:rsidRPr="007F2D4C">
              <w:rPr>
                <w:sz w:val="20"/>
                <w:szCs w:val="20"/>
              </w:rPr>
              <w:t>500.000.000,00</w:t>
            </w:r>
          </w:p>
        </w:tc>
        <w:tc>
          <w:tcPr>
            <w:tcW w:w="1880" w:type="dxa"/>
            <w:tcBorders>
              <w:top w:val="nil"/>
              <w:left w:val="nil"/>
              <w:bottom w:val="single" w:sz="4" w:space="0" w:color="auto"/>
              <w:right w:val="single" w:sz="4" w:space="0" w:color="auto"/>
            </w:tcBorders>
            <w:shd w:val="clear" w:color="auto" w:fill="auto"/>
            <w:noWrap/>
            <w:vAlign w:val="center"/>
            <w:hideMark/>
          </w:tcPr>
          <w:p w14:paraId="4FE7FC9F" w14:textId="77777777" w:rsidR="00C94060" w:rsidRPr="007F2D4C" w:rsidRDefault="00C94060">
            <w:pPr>
              <w:jc w:val="right"/>
              <w:rPr>
                <w:sz w:val="20"/>
                <w:szCs w:val="20"/>
              </w:rPr>
            </w:pPr>
            <w:r w:rsidRPr="007F2D4C">
              <w:rPr>
                <w:sz w:val="20"/>
                <w:szCs w:val="20"/>
              </w:rPr>
              <w:t>3.758.585.000,00</w:t>
            </w:r>
          </w:p>
        </w:tc>
      </w:tr>
      <w:tr w:rsidR="00C94060" w:rsidRPr="007F2D4C" w14:paraId="6280330D"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4045F" w14:textId="77777777" w:rsidR="00C94060" w:rsidRPr="007F2D4C" w:rsidRDefault="00C94060">
            <w:pPr>
              <w:jc w:val="center"/>
              <w:rPr>
                <w:sz w:val="20"/>
                <w:szCs w:val="20"/>
              </w:rPr>
            </w:pPr>
            <w:r w:rsidRPr="007F2D4C">
              <w:rPr>
                <w:sz w:val="20"/>
                <w:szCs w:val="20"/>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689DFB" w14:textId="77777777" w:rsidR="00C94060" w:rsidRPr="007F2D4C" w:rsidRDefault="00C94060">
            <w:pPr>
              <w:rPr>
                <w:sz w:val="20"/>
                <w:szCs w:val="20"/>
              </w:rPr>
            </w:pPr>
            <w:r w:rsidRPr="007F2D4C">
              <w:rPr>
                <w:sz w:val="20"/>
                <w:szCs w:val="20"/>
              </w:rPr>
              <w:t>Obveznice - Serija 29 D-24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818E90"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0E46DEC4" w14:textId="77777777" w:rsidR="00C94060" w:rsidRPr="007F2D4C" w:rsidRDefault="00C94060">
            <w:pPr>
              <w:jc w:val="right"/>
              <w:rPr>
                <w:sz w:val="20"/>
                <w:szCs w:val="20"/>
              </w:rPr>
            </w:pPr>
            <w:r w:rsidRPr="007F2D4C">
              <w:rPr>
                <w:sz w:val="20"/>
                <w:szCs w:val="20"/>
              </w:rPr>
              <w:t>3.500.000.000,00</w:t>
            </w:r>
          </w:p>
        </w:tc>
        <w:tc>
          <w:tcPr>
            <w:tcW w:w="1880" w:type="dxa"/>
            <w:tcBorders>
              <w:top w:val="nil"/>
              <w:left w:val="nil"/>
              <w:bottom w:val="single" w:sz="4" w:space="0" w:color="auto"/>
              <w:right w:val="single" w:sz="4" w:space="0" w:color="auto"/>
            </w:tcBorders>
            <w:shd w:val="clear" w:color="auto" w:fill="auto"/>
            <w:noWrap/>
            <w:vAlign w:val="center"/>
            <w:hideMark/>
          </w:tcPr>
          <w:p w14:paraId="4FDCBE5F" w14:textId="77777777" w:rsidR="00C94060" w:rsidRPr="007F2D4C" w:rsidRDefault="00C94060">
            <w:pPr>
              <w:jc w:val="right"/>
              <w:rPr>
                <w:sz w:val="20"/>
                <w:szCs w:val="20"/>
              </w:rPr>
            </w:pPr>
            <w:r w:rsidRPr="007F2D4C">
              <w:rPr>
                <w:sz w:val="20"/>
                <w:szCs w:val="20"/>
              </w:rPr>
              <w:t>3.500.000.000,00</w:t>
            </w:r>
          </w:p>
        </w:tc>
      </w:tr>
      <w:tr w:rsidR="00C94060" w:rsidRPr="007F2D4C" w14:paraId="01B05BD7"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3732E" w14:textId="77777777" w:rsidR="00C94060" w:rsidRPr="007F2D4C" w:rsidRDefault="00C94060">
            <w:pPr>
              <w:jc w:val="center"/>
              <w:rPr>
                <w:sz w:val="20"/>
                <w:szCs w:val="20"/>
              </w:rPr>
            </w:pPr>
            <w:r w:rsidRPr="007F2D4C">
              <w:rPr>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14:paraId="2FD69669" w14:textId="77777777" w:rsidR="00C94060" w:rsidRPr="007F2D4C" w:rsidRDefault="00C94060">
            <w:pPr>
              <w:rPr>
                <w:sz w:val="20"/>
                <w:szCs w:val="20"/>
              </w:rPr>
            </w:pPr>
            <w:r w:rsidRPr="007F2D4C">
              <w:rPr>
                <w:sz w:val="20"/>
                <w:szCs w:val="20"/>
              </w:rPr>
              <w:t>Obveznice - Serija 30 D-34 Indeksirane HRK/EUR</w:t>
            </w:r>
          </w:p>
        </w:tc>
        <w:tc>
          <w:tcPr>
            <w:tcW w:w="0" w:type="auto"/>
            <w:tcBorders>
              <w:top w:val="nil"/>
              <w:left w:val="nil"/>
              <w:bottom w:val="single" w:sz="4" w:space="0" w:color="auto"/>
              <w:right w:val="single" w:sz="4" w:space="0" w:color="auto"/>
            </w:tcBorders>
            <w:shd w:val="clear" w:color="auto" w:fill="auto"/>
            <w:noWrap/>
            <w:vAlign w:val="center"/>
            <w:hideMark/>
          </w:tcPr>
          <w:p w14:paraId="565506CC"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16F292FC" w14:textId="77777777" w:rsidR="00C94060" w:rsidRPr="007F2D4C" w:rsidRDefault="00C94060">
            <w:pPr>
              <w:jc w:val="right"/>
              <w:rPr>
                <w:sz w:val="20"/>
                <w:szCs w:val="20"/>
              </w:rPr>
            </w:pPr>
            <w:r w:rsidRPr="007F2D4C">
              <w:rPr>
                <w:sz w:val="20"/>
                <w:szCs w:val="20"/>
              </w:rPr>
              <w:t>11.500.000.000,00</w:t>
            </w:r>
          </w:p>
        </w:tc>
        <w:tc>
          <w:tcPr>
            <w:tcW w:w="1880" w:type="dxa"/>
            <w:tcBorders>
              <w:top w:val="nil"/>
              <w:left w:val="nil"/>
              <w:bottom w:val="single" w:sz="4" w:space="0" w:color="auto"/>
              <w:right w:val="single" w:sz="4" w:space="0" w:color="auto"/>
            </w:tcBorders>
            <w:shd w:val="clear" w:color="auto" w:fill="auto"/>
            <w:noWrap/>
            <w:vAlign w:val="center"/>
            <w:hideMark/>
          </w:tcPr>
          <w:p w14:paraId="72FD7CF9" w14:textId="77777777" w:rsidR="00C94060" w:rsidRPr="007F2D4C" w:rsidRDefault="00C94060">
            <w:pPr>
              <w:jc w:val="right"/>
              <w:rPr>
                <w:sz w:val="20"/>
                <w:szCs w:val="20"/>
              </w:rPr>
            </w:pPr>
            <w:r w:rsidRPr="007F2D4C">
              <w:rPr>
                <w:sz w:val="20"/>
                <w:szCs w:val="20"/>
              </w:rPr>
              <w:t>11.500.000.000,00</w:t>
            </w:r>
          </w:p>
        </w:tc>
      </w:tr>
      <w:tr w:rsidR="00C94060" w:rsidRPr="007F2D4C" w14:paraId="1BC25174"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BFF27D" w14:textId="77777777" w:rsidR="00C94060" w:rsidRPr="007F2D4C" w:rsidRDefault="00C94060">
            <w:pPr>
              <w:jc w:val="center"/>
              <w:rPr>
                <w:sz w:val="20"/>
                <w:szCs w:val="20"/>
              </w:rPr>
            </w:pPr>
            <w:r w:rsidRPr="007F2D4C">
              <w:rPr>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14:paraId="0FC685C6" w14:textId="77777777" w:rsidR="00C94060" w:rsidRPr="007F2D4C" w:rsidRDefault="00C94060">
            <w:pPr>
              <w:rPr>
                <w:sz w:val="20"/>
                <w:szCs w:val="20"/>
              </w:rPr>
            </w:pPr>
            <w:r w:rsidRPr="007F2D4C">
              <w:rPr>
                <w:sz w:val="20"/>
                <w:szCs w:val="20"/>
              </w:rPr>
              <w:t>Obveznice - Serija 31 D-40</w:t>
            </w:r>
          </w:p>
        </w:tc>
        <w:tc>
          <w:tcPr>
            <w:tcW w:w="0" w:type="auto"/>
            <w:tcBorders>
              <w:top w:val="nil"/>
              <w:left w:val="nil"/>
              <w:bottom w:val="single" w:sz="4" w:space="0" w:color="auto"/>
              <w:right w:val="single" w:sz="4" w:space="0" w:color="auto"/>
            </w:tcBorders>
            <w:shd w:val="clear" w:color="auto" w:fill="auto"/>
            <w:noWrap/>
            <w:vAlign w:val="center"/>
            <w:hideMark/>
          </w:tcPr>
          <w:p w14:paraId="4E06B7AC" w14:textId="77777777" w:rsidR="00C94060" w:rsidRPr="007F2D4C" w:rsidRDefault="00C94060">
            <w:pPr>
              <w:jc w:val="center"/>
              <w:rPr>
                <w:sz w:val="20"/>
                <w:szCs w:val="20"/>
              </w:rPr>
            </w:pPr>
            <w:r w:rsidRPr="007F2D4C">
              <w:rPr>
                <w:sz w:val="20"/>
                <w:szCs w:val="20"/>
              </w:rPr>
              <w:t>EUR</w:t>
            </w:r>
          </w:p>
        </w:tc>
        <w:tc>
          <w:tcPr>
            <w:tcW w:w="0" w:type="auto"/>
            <w:tcBorders>
              <w:top w:val="nil"/>
              <w:left w:val="nil"/>
              <w:bottom w:val="single" w:sz="4" w:space="0" w:color="auto"/>
              <w:right w:val="single" w:sz="4" w:space="0" w:color="auto"/>
            </w:tcBorders>
            <w:shd w:val="clear" w:color="auto" w:fill="auto"/>
            <w:noWrap/>
            <w:vAlign w:val="center"/>
            <w:hideMark/>
          </w:tcPr>
          <w:p w14:paraId="72C12AE8" w14:textId="77777777" w:rsidR="00C94060" w:rsidRPr="007F2D4C" w:rsidRDefault="00C94060">
            <w:pPr>
              <w:jc w:val="right"/>
              <w:rPr>
                <w:sz w:val="20"/>
                <w:szCs w:val="20"/>
              </w:rPr>
            </w:pPr>
            <w:r w:rsidRPr="007F2D4C">
              <w:rPr>
                <w:sz w:val="20"/>
                <w:szCs w:val="20"/>
              </w:rPr>
              <w:t>800.000.000,00</w:t>
            </w:r>
          </w:p>
        </w:tc>
        <w:tc>
          <w:tcPr>
            <w:tcW w:w="1880" w:type="dxa"/>
            <w:tcBorders>
              <w:top w:val="nil"/>
              <w:left w:val="nil"/>
              <w:bottom w:val="single" w:sz="4" w:space="0" w:color="auto"/>
              <w:right w:val="single" w:sz="4" w:space="0" w:color="auto"/>
            </w:tcBorders>
            <w:shd w:val="clear" w:color="auto" w:fill="auto"/>
            <w:noWrap/>
            <w:vAlign w:val="center"/>
            <w:hideMark/>
          </w:tcPr>
          <w:p w14:paraId="7797F5EC" w14:textId="77777777" w:rsidR="00C94060" w:rsidRPr="007F2D4C" w:rsidRDefault="00C94060">
            <w:pPr>
              <w:jc w:val="right"/>
              <w:rPr>
                <w:sz w:val="20"/>
                <w:szCs w:val="20"/>
              </w:rPr>
            </w:pPr>
            <w:r w:rsidRPr="007F2D4C">
              <w:rPr>
                <w:sz w:val="20"/>
                <w:szCs w:val="20"/>
              </w:rPr>
              <w:t>6.013.736.000,00</w:t>
            </w:r>
          </w:p>
        </w:tc>
      </w:tr>
      <w:tr w:rsidR="00C94060" w:rsidRPr="007F2D4C" w14:paraId="1F7074CA"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B8637" w14:textId="77777777" w:rsidR="00C94060" w:rsidRPr="007F2D4C" w:rsidRDefault="00C94060">
            <w:pPr>
              <w:jc w:val="center"/>
              <w:rPr>
                <w:sz w:val="20"/>
                <w:szCs w:val="20"/>
              </w:rPr>
            </w:pPr>
            <w:r w:rsidRPr="007F2D4C">
              <w:rPr>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14:paraId="1D18B2DD" w14:textId="77777777" w:rsidR="00C94060" w:rsidRPr="007F2D4C" w:rsidRDefault="00C94060">
            <w:pPr>
              <w:rPr>
                <w:sz w:val="20"/>
                <w:szCs w:val="20"/>
              </w:rPr>
            </w:pPr>
            <w:r w:rsidRPr="007F2D4C">
              <w:rPr>
                <w:sz w:val="20"/>
                <w:szCs w:val="20"/>
              </w:rPr>
              <w:t>Obveznice - Serija 32 D-25</w:t>
            </w:r>
          </w:p>
        </w:tc>
        <w:tc>
          <w:tcPr>
            <w:tcW w:w="0" w:type="auto"/>
            <w:tcBorders>
              <w:top w:val="nil"/>
              <w:left w:val="nil"/>
              <w:bottom w:val="single" w:sz="4" w:space="0" w:color="auto"/>
              <w:right w:val="single" w:sz="4" w:space="0" w:color="auto"/>
            </w:tcBorders>
            <w:shd w:val="clear" w:color="auto" w:fill="auto"/>
            <w:noWrap/>
            <w:vAlign w:val="center"/>
            <w:hideMark/>
          </w:tcPr>
          <w:p w14:paraId="57929BAE"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2E6B426C" w14:textId="77777777" w:rsidR="00C94060" w:rsidRPr="007F2D4C" w:rsidRDefault="00C94060">
            <w:pPr>
              <w:jc w:val="right"/>
              <w:rPr>
                <w:sz w:val="20"/>
                <w:szCs w:val="20"/>
              </w:rPr>
            </w:pPr>
            <w:r w:rsidRPr="007F2D4C">
              <w:rPr>
                <w:sz w:val="20"/>
                <w:szCs w:val="20"/>
              </w:rPr>
              <w:t>5.000.000.000,00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63DFE566" w14:textId="77777777" w:rsidR="00C94060" w:rsidRPr="007F2D4C" w:rsidRDefault="00C94060">
            <w:pPr>
              <w:jc w:val="right"/>
              <w:rPr>
                <w:sz w:val="20"/>
                <w:szCs w:val="20"/>
              </w:rPr>
            </w:pPr>
            <w:r w:rsidRPr="007F2D4C">
              <w:rPr>
                <w:sz w:val="20"/>
                <w:szCs w:val="20"/>
              </w:rPr>
              <w:t>5.000.000.000,00</w:t>
            </w:r>
          </w:p>
        </w:tc>
      </w:tr>
      <w:tr w:rsidR="00C94060" w:rsidRPr="007F2D4C" w14:paraId="2483CD6B"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D3117" w14:textId="77777777" w:rsidR="00C94060" w:rsidRPr="007F2D4C" w:rsidRDefault="00C94060">
            <w:pPr>
              <w:jc w:val="center"/>
              <w:rPr>
                <w:sz w:val="20"/>
                <w:szCs w:val="20"/>
              </w:rPr>
            </w:pPr>
            <w:r w:rsidRPr="007F2D4C">
              <w:rPr>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14:paraId="1E9112AE" w14:textId="77777777" w:rsidR="00C94060" w:rsidRPr="007F2D4C" w:rsidRDefault="00C94060">
            <w:pPr>
              <w:rPr>
                <w:sz w:val="20"/>
                <w:szCs w:val="20"/>
              </w:rPr>
            </w:pPr>
            <w:r w:rsidRPr="007F2D4C">
              <w:rPr>
                <w:sz w:val="20"/>
                <w:szCs w:val="20"/>
              </w:rPr>
              <w:t>Obveznice - Serija 33 D-27</w:t>
            </w:r>
          </w:p>
        </w:tc>
        <w:tc>
          <w:tcPr>
            <w:tcW w:w="0" w:type="auto"/>
            <w:tcBorders>
              <w:top w:val="nil"/>
              <w:left w:val="nil"/>
              <w:bottom w:val="single" w:sz="4" w:space="0" w:color="auto"/>
              <w:right w:val="single" w:sz="4" w:space="0" w:color="auto"/>
            </w:tcBorders>
            <w:shd w:val="clear" w:color="auto" w:fill="auto"/>
            <w:noWrap/>
            <w:vAlign w:val="center"/>
            <w:hideMark/>
          </w:tcPr>
          <w:p w14:paraId="3E865016" w14:textId="77777777" w:rsidR="00C94060" w:rsidRPr="007F2D4C" w:rsidRDefault="00C94060">
            <w:pPr>
              <w:jc w:val="center"/>
              <w:rPr>
                <w:sz w:val="20"/>
                <w:szCs w:val="20"/>
              </w:rPr>
            </w:pPr>
            <w:r w:rsidRPr="007F2D4C">
              <w:rPr>
                <w:sz w:val="20"/>
                <w:szCs w:val="20"/>
              </w:rPr>
              <w:t>EUR</w:t>
            </w:r>
          </w:p>
        </w:tc>
        <w:tc>
          <w:tcPr>
            <w:tcW w:w="0" w:type="auto"/>
            <w:tcBorders>
              <w:top w:val="nil"/>
              <w:left w:val="nil"/>
              <w:bottom w:val="single" w:sz="4" w:space="0" w:color="auto"/>
              <w:right w:val="single" w:sz="4" w:space="0" w:color="auto"/>
            </w:tcBorders>
            <w:shd w:val="clear" w:color="auto" w:fill="auto"/>
            <w:noWrap/>
            <w:vAlign w:val="center"/>
            <w:hideMark/>
          </w:tcPr>
          <w:p w14:paraId="41BB42A5" w14:textId="77777777" w:rsidR="00C94060" w:rsidRPr="007F2D4C" w:rsidRDefault="00C94060">
            <w:pPr>
              <w:jc w:val="right"/>
              <w:rPr>
                <w:sz w:val="20"/>
                <w:szCs w:val="20"/>
              </w:rPr>
            </w:pPr>
            <w:r w:rsidRPr="007F2D4C">
              <w:rPr>
                <w:sz w:val="20"/>
                <w:szCs w:val="20"/>
              </w:rPr>
              <w:t>1.445.000.000,00</w:t>
            </w:r>
          </w:p>
        </w:tc>
        <w:tc>
          <w:tcPr>
            <w:tcW w:w="1880" w:type="dxa"/>
            <w:tcBorders>
              <w:top w:val="nil"/>
              <w:left w:val="nil"/>
              <w:bottom w:val="single" w:sz="4" w:space="0" w:color="auto"/>
              <w:right w:val="single" w:sz="4" w:space="0" w:color="auto"/>
            </w:tcBorders>
            <w:shd w:val="clear" w:color="auto" w:fill="auto"/>
            <w:noWrap/>
            <w:vAlign w:val="center"/>
            <w:hideMark/>
          </w:tcPr>
          <w:p w14:paraId="47F887F0" w14:textId="77777777" w:rsidR="00C94060" w:rsidRPr="007F2D4C" w:rsidRDefault="00C94060">
            <w:pPr>
              <w:jc w:val="right"/>
              <w:rPr>
                <w:sz w:val="20"/>
                <w:szCs w:val="20"/>
              </w:rPr>
            </w:pPr>
            <w:r w:rsidRPr="007F2D4C">
              <w:rPr>
                <w:sz w:val="20"/>
                <w:szCs w:val="20"/>
              </w:rPr>
              <w:t>10.862.310.650,00</w:t>
            </w:r>
          </w:p>
        </w:tc>
      </w:tr>
      <w:tr w:rsidR="00C94060" w:rsidRPr="007F2D4C" w14:paraId="08E67738"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6C436E" w14:textId="77777777" w:rsidR="00C94060" w:rsidRPr="007F2D4C" w:rsidRDefault="00C94060">
            <w:pPr>
              <w:jc w:val="center"/>
              <w:rPr>
                <w:sz w:val="20"/>
                <w:szCs w:val="20"/>
              </w:rPr>
            </w:pPr>
            <w:r w:rsidRPr="007F2D4C">
              <w:rPr>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14:paraId="2763D0B1" w14:textId="77777777" w:rsidR="00C94060" w:rsidRPr="007F2D4C" w:rsidRDefault="00C94060">
            <w:pPr>
              <w:rPr>
                <w:sz w:val="20"/>
                <w:szCs w:val="20"/>
              </w:rPr>
            </w:pPr>
            <w:r w:rsidRPr="007F2D4C">
              <w:rPr>
                <w:sz w:val="20"/>
                <w:szCs w:val="20"/>
              </w:rPr>
              <w:t>Obveznice - Serija 34 D-28</w:t>
            </w:r>
          </w:p>
        </w:tc>
        <w:tc>
          <w:tcPr>
            <w:tcW w:w="0" w:type="auto"/>
            <w:tcBorders>
              <w:top w:val="nil"/>
              <w:left w:val="nil"/>
              <w:bottom w:val="single" w:sz="4" w:space="0" w:color="auto"/>
              <w:right w:val="single" w:sz="4" w:space="0" w:color="auto"/>
            </w:tcBorders>
            <w:shd w:val="clear" w:color="auto" w:fill="auto"/>
            <w:noWrap/>
            <w:vAlign w:val="center"/>
            <w:hideMark/>
          </w:tcPr>
          <w:p w14:paraId="3B49E859" w14:textId="77777777" w:rsidR="00C94060" w:rsidRPr="007F2D4C" w:rsidRDefault="00C94060">
            <w:pPr>
              <w:jc w:val="center"/>
              <w:rPr>
                <w:sz w:val="20"/>
                <w:szCs w:val="20"/>
              </w:rPr>
            </w:pPr>
            <w:r w:rsidRPr="007F2D4C">
              <w:rPr>
                <w:sz w:val="20"/>
                <w:szCs w:val="20"/>
              </w:rPr>
              <w:t>HRK</w:t>
            </w:r>
          </w:p>
        </w:tc>
        <w:tc>
          <w:tcPr>
            <w:tcW w:w="0" w:type="auto"/>
            <w:tcBorders>
              <w:top w:val="nil"/>
              <w:left w:val="nil"/>
              <w:bottom w:val="single" w:sz="4" w:space="0" w:color="auto"/>
              <w:right w:val="single" w:sz="4" w:space="0" w:color="auto"/>
            </w:tcBorders>
            <w:shd w:val="clear" w:color="auto" w:fill="auto"/>
            <w:noWrap/>
            <w:vAlign w:val="center"/>
            <w:hideMark/>
          </w:tcPr>
          <w:p w14:paraId="1D637434" w14:textId="77777777" w:rsidR="00C94060" w:rsidRPr="007F2D4C" w:rsidRDefault="00C94060">
            <w:pPr>
              <w:jc w:val="right"/>
              <w:rPr>
                <w:sz w:val="20"/>
                <w:szCs w:val="20"/>
              </w:rPr>
            </w:pPr>
            <w:r w:rsidRPr="007F2D4C">
              <w:rPr>
                <w:sz w:val="20"/>
                <w:szCs w:val="20"/>
              </w:rPr>
              <w:t>9.000.000.000,00</w:t>
            </w:r>
          </w:p>
        </w:tc>
        <w:tc>
          <w:tcPr>
            <w:tcW w:w="1880" w:type="dxa"/>
            <w:tcBorders>
              <w:top w:val="nil"/>
              <w:left w:val="nil"/>
              <w:bottom w:val="single" w:sz="4" w:space="0" w:color="auto"/>
              <w:right w:val="single" w:sz="4" w:space="0" w:color="auto"/>
            </w:tcBorders>
            <w:shd w:val="clear" w:color="auto" w:fill="auto"/>
            <w:noWrap/>
            <w:vAlign w:val="center"/>
            <w:hideMark/>
          </w:tcPr>
          <w:p w14:paraId="0B6DA884" w14:textId="77777777" w:rsidR="00C94060" w:rsidRPr="007F2D4C" w:rsidRDefault="00C94060">
            <w:pPr>
              <w:jc w:val="right"/>
              <w:rPr>
                <w:sz w:val="20"/>
                <w:szCs w:val="20"/>
              </w:rPr>
            </w:pPr>
            <w:r w:rsidRPr="007F2D4C">
              <w:rPr>
                <w:sz w:val="20"/>
                <w:szCs w:val="20"/>
              </w:rPr>
              <w:t>9.000.000.000,00</w:t>
            </w:r>
          </w:p>
        </w:tc>
      </w:tr>
      <w:tr w:rsidR="00C94060" w:rsidRPr="007F2D4C" w14:paraId="691FCD03" w14:textId="77777777" w:rsidTr="00A81FEF">
        <w:trPr>
          <w:trHeight w:val="270"/>
        </w:trPr>
        <w:tc>
          <w:tcPr>
            <w:tcW w:w="0" w:type="auto"/>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C7859B7" w14:textId="77777777" w:rsidR="00C94060" w:rsidRPr="007F2D4C" w:rsidRDefault="00C94060">
            <w:pPr>
              <w:jc w:val="center"/>
              <w:rPr>
                <w:sz w:val="20"/>
                <w:szCs w:val="20"/>
              </w:rPr>
            </w:pPr>
            <w:r w:rsidRPr="007F2D4C">
              <w:rPr>
                <w:sz w:val="20"/>
                <w:szCs w:val="20"/>
              </w:rPr>
              <w:t> </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00168811" w14:textId="77777777" w:rsidR="00C94060" w:rsidRPr="007F2D4C" w:rsidRDefault="00C94060">
            <w:pPr>
              <w:rPr>
                <w:b/>
                <w:bCs/>
                <w:sz w:val="20"/>
                <w:szCs w:val="20"/>
              </w:rPr>
            </w:pPr>
            <w:r w:rsidRPr="007F2D4C">
              <w:rPr>
                <w:b/>
                <w:bCs/>
                <w:sz w:val="20"/>
                <w:szCs w:val="20"/>
              </w:rPr>
              <w:t>Ukupno:</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7B6EABB2" w14:textId="77777777" w:rsidR="00C94060" w:rsidRPr="007F2D4C" w:rsidRDefault="00C94060">
            <w:pPr>
              <w:jc w:val="center"/>
              <w:rPr>
                <w:b/>
                <w:bCs/>
                <w:sz w:val="20"/>
                <w:szCs w:val="20"/>
              </w:rPr>
            </w:pPr>
            <w:r w:rsidRPr="007F2D4C">
              <w:rPr>
                <w:b/>
                <w:bCs/>
                <w:sz w:val="20"/>
                <w:szCs w:val="20"/>
              </w:rPr>
              <w:t>EUR</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5FBDBC5B" w14:textId="77777777" w:rsidR="00C94060" w:rsidRPr="007F2D4C" w:rsidRDefault="00C94060">
            <w:pPr>
              <w:jc w:val="right"/>
              <w:rPr>
                <w:b/>
                <w:bCs/>
                <w:sz w:val="20"/>
                <w:szCs w:val="20"/>
              </w:rPr>
            </w:pPr>
            <w:r w:rsidRPr="007F2D4C">
              <w:rPr>
                <w:b/>
                <w:bCs/>
                <w:sz w:val="20"/>
                <w:szCs w:val="20"/>
              </w:rPr>
              <w:t>5.145.000.000,00</w:t>
            </w:r>
          </w:p>
        </w:tc>
        <w:tc>
          <w:tcPr>
            <w:tcW w:w="1880" w:type="dxa"/>
            <w:tcBorders>
              <w:top w:val="double" w:sz="6" w:space="0" w:color="auto"/>
              <w:left w:val="nil"/>
              <w:bottom w:val="double" w:sz="6" w:space="0" w:color="auto"/>
              <w:right w:val="double" w:sz="6" w:space="0" w:color="auto"/>
            </w:tcBorders>
            <w:shd w:val="clear" w:color="auto" w:fill="auto"/>
            <w:noWrap/>
            <w:vAlign w:val="center"/>
            <w:hideMark/>
          </w:tcPr>
          <w:p w14:paraId="0CEFDDE2" w14:textId="77777777" w:rsidR="00C94060" w:rsidRPr="007F2D4C" w:rsidRDefault="00C94060">
            <w:pPr>
              <w:jc w:val="right"/>
              <w:rPr>
                <w:b/>
                <w:bCs/>
                <w:sz w:val="20"/>
                <w:szCs w:val="20"/>
              </w:rPr>
            </w:pPr>
            <w:r w:rsidRPr="007F2D4C">
              <w:rPr>
                <w:b/>
                <w:bCs/>
                <w:sz w:val="20"/>
                <w:szCs w:val="20"/>
              </w:rPr>
              <w:t>38.675.839.650,00</w:t>
            </w:r>
          </w:p>
        </w:tc>
      </w:tr>
      <w:tr w:rsidR="00C94060" w:rsidRPr="007F2D4C" w14:paraId="4ABFC4BE" w14:textId="77777777" w:rsidTr="00A81FEF">
        <w:trPr>
          <w:trHeight w:val="270"/>
        </w:trPr>
        <w:tc>
          <w:tcPr>
            <w:tcW w:w="0" w:type="auto"/>
            <w:tcBorders>
              <w:top w:val="nil"/>
              <w:left w:val="double" w:sz="6" w:space="0" w:color="auto"/>
              <w:bottom w:val="double" w:sz="6" w:space="0" w:color="auto"/>
              <w:right w:val="double" w:sz="6" w:space="0" w:color="auto"/>
            </w:tcBorders>
            <w:shd w:val="clear" w:color="auto" w:fill="auto"/>
            <w:noWrap/>
            <w:vAlign w:val="center"/>
            <w:hideMark/>
          </w:tcPr>
          <w:p w14:paraId="0408E8D9" w14:textId="77777777" w:rsidR="00C94060" w:rsidRPr="007F2D4C" w:rsidRDefault="00C94060">
            <w:pPr>
              <w:jc w:val="center"/>
              <w:rPr>
                <w:sz w:val="20"/>
                <w:szCs w:val="20"/>
              </w:rPr>
            </w:pPr>
            <w:r w:rsidRPr="007F2D4C">
              <w:rPr>
                <w:sz w:val="20"/>
                <w:szCs w:val="20"/>
              </w:rPr>
              <w:t> </w:t>
            </w:r>
          </w:p>
        </w:tc>
        <w:tc>
          <w:tcPr>
            <w:tcW w:w="0" w:type="auto"/>
            <w:tcBorders>
              <w:top w:val="nil"/>
              <w:left w:val="nil"/>
              <w:bottom w:val="double" w:sz="6" w:space="0" w:color="auto"/>
              <w:right w:val="double" w:sz="6" w:space="0" w:color="auto"/>
            </w:tcBorders>
            <w:shd w:val="clear" w:color="auto" w:fill="auto"/>
            <w:noWrap/>
            <w:vAlign w:val="center"/>
            <w:hideMark/>
          </w:tcPr>
          <w:p w14:paraId="64D990DD" w14:textId="77777777" w:rsidR="00C94060" w:rsidRPr="007F2D4C" w:rsidRDefault="00C94060">
            <w:pPr>
              <w:rPr>
                <w:b/>
                <w:bCs/>
                <w:sz w:val="20"/>
                <w:szCs w:val="20"/>
              </w:rPr>
            </w:pPr>
            <w:r w:rsidRPr="007F2D4C">
              <w:rPr>
                <w:b/>
                <w:bCs/>
                <w:sz w:val="20"/>
                <w:szCs w:val="20"/>
              </w:rPr>
              <w:t>Ukupno:</w:t>
            </w:r>
          </w:p>
        </w:tc>
        <w:tc>
          <w:tcPr>
            <w:tcW w:w="0" w:type="auto"/>
            <w:tcBorders>
              <w:top w:val="nil"/>
              <w:left w:val="nil"/>
              <w:bottom w:val="double" w:sz="6" w:space="0" w:color="auto"/>
              <w:right w:val="double" w:sz="6" w:space="0" w:color="auto"/>
            </w:tcBorders>
            <w:shd w:val="clear" w:color="auto" w:fill="auto"/>
            <w:noWrap/>
            <w:vAlign w:val="center"/>
            <w:hideMark/>
          </w:tcPr>
          <w:p w14:paraId="09976BCB" w14:textId="77777777" w:rsidR="00C94060" w:rsidRPr="007F2D4C" w:rsidRDefault="00C94060">
            <w:pPr>
              <w:jc w:val="center"/>
              <w:rPr>
                <w:b/>
                <w:bCs/>
                <w:sz w:val="20"/>
                <w:szCs w:val="20"/>
              </w:rPr>
            </w:pPr>
            <w:r w:rsidRPr="007F2D4C">
              <w:rPr>
                <w:b/>
                <w:bCs/>
                <w:sz w:val="20"/>
                <w:szCs w:val="20"/>
              </w:rPr>
              <w:t>HRK</w:t>
            </w:r>
          </w:p>
        </w:tc>
        <w:tc>
          <w:tcPr>
            <w:tcW w:w="0" w:type="auto"/>
            <w:tcBorders>
              <w:top w:val="nil"/>
              <w:left w:val="nil"/>
              <w:bottom w:val="double" w:sz="6" w:space="0" w:color="auto"/>
              <w:right w:val="double" w:sz="6" w:space="0" w:color="auto"/>
            </w:tcBorders>
            <w:shd w:val="clear" w:color="auto" w:fill="auto"/>
            <w:noWrap/>
            <w:vAlign w:val="center"/>
            <w:hideMark/>
          </w:tcPr>
          <w:p w14:paraId="110F07BE" w14:textId="77777777" w:rsidR="00C94060" w:rsidRPr="007F2D4C" w:rsidRDefault="00C94060">
            <w:pPr>
              <w:jc w:val="right"/>
              <w:rPr>
                <w:b/>
                <w:bCs/>
                <w:sz w:val="20"/>
                <w:szCs w:val="20"/>
              </w:rPr>
            </w:pPr>
            <w:r w:rsidRPr="007F2D4C">
              <w:rPr>
                <w:b/>
                <w:bCs/>
                <w:sz w:val="20"/>
                <w:szCs w:val="20"/>
              </w:rPr>
              <w:t>82.850.000.000,00</w:t>
            </w:r>
          </w:p>
        </w:tc>
        <w:tc>
          <w:tcPr>
            <w:tcW w:w="1880" w:type="dxa"/>
            <w:tcBorders>
              <w:top w:val="nil"/>
              <w:left w:val="nil"/>
              <w:bottom w:val="double" w:sz="6" w:space="0" w:color="auto"/>
              <w:right w:val="double" w:sz="6" w:space="0" w:color="auto"/>
            </w:tcBorders>
            <w:shd w:val="clear" w:color="auto" w:fill="auto"/>
            <w:noWrap/>
            <w:vAlign w:val="center"/>
            <w:hideMark/>
          </w:tcPr>
          <w:p w14:paraId="08A8B1F5" w14:textId="77777777" w:rsidR="00C94060" w:rsidRPr="007F2D4C" w:rsidRDefault="00C94060">
            <w:pPr>
              <w:jc w:val="right"/>
              <w:rPr>
                <w:b/>
                <w:bCs/>
                <w:sz w:val="20"/>
                <w:szCs w:val="20"/>
              </w:rPr>
            </w:pPr>
            <w:r w:rsidRPr="007F2D4C">
              <w:rPr>
                <w:b/>
                <w:bCs/>
                <w:sz w:val="20"/>
                <w:szCs w:val="20"/>
              </w:rPr>
              <w:t>82.850.000.000,00</w:t>
            </w:r>
          </w:p>
        </w:tc>
      </w:tr>
      <w:tr w:rsidR="00A81FEF" w:rsidRPr="007F2D4C" w14:paraId="78A764F4" w14:textId="77777777" w:rsidTr="00A81FEF">
        <w:trPr>
          <w:trHeight w:val="270"/>
        </w:trPr>
        <w:tc>
          <w:tcPr>
            <w:tcW w:w="0" w:type="auto"/>
            <w:gridSpan w:val="4"/>
            <w:tcBorders>
              <w:top w:val="nil"/>
              <w:left w:val="double" w:sz="6" w:space="0" w:color="auto"/>
              <w:bottom w:val="double" w:sz="6" w:space="0" w:color="auto"/>
              <w:right w:val="double" w:sz="6" w:space="0" w:color="auto"/>
            </w:tcBorders>
            <w:shd w:val="clear" w:color="auto" w:fill="auto"/>
            <w:noWrap/>
            <w:vAlign w:val="center"/>
          </w:tcPr>
          <w:p w14:paraId="5DEEEF1D" w14:textId="77777777" w:rsidR="00A81FEF" w:rsidRPr="007F2D4C" w:rsidRDefault="00A81FEF">
            <w:pPr>
              <w:jc w:val="right"/>
              <w:rPr>
                <w:b/>
                <w:bCs/>
                <w:sz w:val="20"/>
                <w:szCs w:val="20"/>
              </w:rPr>
            </w:pPr>
          </w:p>
        </w:tc>
        <w:tc>
          <w:tcPr>
            <w:tcW w:w="1880" w:type="dxa"/>
            <w:tcBorders>
              <w:top w:val="nil"/>
              <w:left w:val="nil"/>
              <w:bottom w:val="double" w:sz="6" w:space="0" w:color="auto"/>
              <w:right w:val="double" w:sz="6" w:space="0" w:color="auto"/>
            </w:tcBorders>
            <w:shd w:val="clear" w:color="auto" w:fill="auto"/>
            <w:noWrap/>
            <w:vAlign w:val="center"/>
          </w:tcPr>
          <w:p w14:paraId="32581842" w14:textId="5E487246" w:rsidR="00A81FEF" w:rsidRPr="007F2D4C" w:rsidRDefault="00A81FEF">
            <w:pPr>
              <w:jc w:val="right"/>
              <w:rPr>
                <w:b/>
                <w:bCs/>
                <w:sz w:val="20"/>
                <w:szCs w:val="20"/>
              </w:rPr>
            </w:pPr>
            <w:r w:rsidRPr="00A81FEF">
              <w:rPr>
                <w:b/>
                <w:bCs/>
                <w:sz w:val="20"/>
                <w:szCs w:val="20"/>
              </w:rPr>
              <w:t>121.525.839.650,00</w:t>
            </w:r>
          </w:p>
        </w:tc>
      </w:tr>
    </w:tbl>
    <w:p w14:paraId="55AE921D" w14:textId="77777777" w:rsidR="005543A8" w:rsidRDefault="005543A8" w:rsidP="005543A8">
      <w:pPr>
        <w:spacing w:after="160" w:line="259" w:lineRule="auto"/>
        <w:jc w:val="both"/>
        <w:rPr>
          <w:rFonts w:eastAsiaTheme="minorHAnsi"/>
          <w:lang w:eastAsia="en-US"/>
        </w:rPr>
      </w:pPr>
    </w:p>
    <w:p w14:paraId="763BB360" w14:textId="5D0246AB" w:rsidR="004F729D" w:rsidRDefault="00C94060" w:rsidP="005543A8">
      <w:pPr>
        <w:spacing w:after="160" w:line="259" w:lineRule="auto"/>
        <w:jc w:val="both"/>
        <w:rPr>
          <w:rFonts w:eastAsiaTheme="minorHAnsi"/>
          <w:lang w:eastAsia="en-US"/>
        </w:rPr>
      </w:pPr>
      <w:r w:rsidRPr="00D42A73">
        <w:rPr>
          <w:rFonts w:eastAsiaTheme="minorHAnsi"/>
          <w:lang w:eastAsia="en-US"/>
        </w:rPr>
        <w:t>Republika Hrvatska zastupana po Ministarstvu financija je 30. lipnja 2021. godine donijela odluku o izdanju obveznica uz plasman na domaćem tržištu kapitala u iznosu od 9 milijardi kuna. Obveznice su izdane po cijeni 99,774% nominalnog iznosa. Uplata po ovim obveznicama je 5. srpnja 2021. godine, a dospijeće obveznica je 5. srpnja 2028. godine. Kamatni kupon je nepromjenjiv i iznosi 0,50%, a isplaćivat će se polugodišnje. Sredstva ostvarena ovim zaduženjem koristila su se, između ostalog, za otplatu iznosa 6 milijardi kuna obveznica koje su dospjele 8. srpnja 2021. godine. Ova petogodišnja obveznica izdana je u srpnju 2016. godine uz nepromjenjivi kamatni kupon 2,75% godišnje.</w:t>
      </w:r>
    </w:p>
    <w:p w14:paraId="5A079385" w14:textId="1241A9F0" w:rsidR="00237246" w:rsidRPr="00D42A73" w:rsidRDefault="004A73A4" w:rsidP="00237246">
      <w:pPr>
        <w:jc w:val="center"/>
      </w:pPr>
      <w:r>
        <w:rPr>
          <w:sz w:val="28"/>
        </w:rPr>
        <w:t>Bilješka 21</w:t>
      </w:r>
      <w:r w:rsidR="00187157" w:rsidRPr="00D42A73">
        <w:rPr>
          <w:sz w:val="28"/>
        </w:rPr>
        <w:t>.</w:t>
      </w:r>
    </w:p>
    <w:p w14:paraId="6FB332C0" w14:textId="6A9FF4A2" w:rsidR="00237246" w:rsidRPr="00D42A73" w:rsidRDefault="00317243" w:rsidP="00237246">
      <w:pPr>
        <w:jc w:val="center"/>
      </w:pPr>
      <w:r w:rsidRPr="00D42A73">
        <w:rPr>
          <w:sz w:val="28"/>
        </w:rPr>
        <w:t>AOP 195</w:t>
      </w:r>
      <w:r w:rsidR="00187157" w:rsidRPr="00D42A73">
        <w:rPr>
          <w:sz w:val="28"/>
        </w:rPr>
        <w:t xml:space="preserve"> Obveze za mjenice</w:t>
      </w:r>
    </w:p>
    <w:p w14:paraId="48AEDCFF" w14:textId="46A6380A" w:rsidR="00187157" w:rsidRDefault="00187157" w:rsidP="00CF385E">
      <w:pPr>
        <w:keepNext/>
        <w:jc w:val="both"/>
      </w:pPr>
      <w:r w:rsidRPr="00D42A73">
        <w:t xml:space="preserve">Iznos </w:t>
      </w:r>
      <w:r w:rsidR="00FE019C" w:rsidRPr="00D42A73">
        <w:t xml:space="preserve">od </w:t>
      </w:r>
      <w:r w:rsidR="0001234C" w:rsidRPr="00D42A73">
        <w:t>4.343.521</w:t>
      </w:r>
      <w:r w:rsidRPr="00D42A73">
        <w:t xml:space="preserve"> </w:t>
      </w:r>
      <w:r w:rsidR="0001234C" w:rsidRPr="00D42A73">
        <w:rPr>
          <w:bCs/>
        </w:rPr>
        <w:t>kuna</w:t>
      </w:r>
      <w:r w:rsidRPr="00D42A73">
        <w:t xml:space="preserve"> odnosi se na obveze po izdanim mjenicama za članski kapital IDA i </w:t>
      </w:r>
      <w:r w:rsidR="00C85DCC">
        <w:t>MIGA. Analitika dana u Tablici 9</w:t>
      </w:r>
      <w:r w:rsidRPr="00D42A73">
        <w:t>.</w:t>
      </w:r>
    </w:p>
    <w:p w14:paraId="71C0BD28" w14:textId="75DB6C8A" w:rsidR="005543A8" w:rsidRDefault="005543A8" w:rsidP="00237246">
      <w:pPr>
        <w:jc w:val="both"/>
      </w:pPr>
    </w:p>
    <w:p w14:paraId="282422A5" w14:textId="0D74A46F" w:rsidR="0001234C" w:rsidRPr="00D42A73" w:rsidRDefault="004A73A4" w:rsidP="00CF329C">
      <w:pPr>
        <w:keepNext/>
        <w:jc w:val="both"/>
        <w:rPr>
          <w:b/>
          <w:sz w:val="20"/>
          <w:szCs w:val="20"/>
        </w:rPr>
      </w:pPr>
      <w:r>
        <w:rPr>
          <w:b/>
          <w:sz w:val="20"/>
          <w:szCs w:val="20"/>
        </w:rPr>
        <w:lastRenderedPageBreak/>
        <w:t>Tablica 9</w:t>
      </w:r>
      <w:r w:rsidR="00D604E4" w:rsidRPr="00D42A73">
        <w:rPr>
          <w:b/>
          <w:sz w:val="20"/>
          <w:szCs w:val="20"/>
        </w:rPr>
        <w:t>.</w:t>
      </w:r>
    </w:p>
    <w:tbl>
      <w:tblPr>
        <w:tblW w:w="8600" w:type="dxa"/>
        <w:jc w:val="center"/>
        <w:tblLook w:val="04A0" w:firstRow="1" w:lastRow="0" w:firstColumn="1" w:lastColumn="0" w:noHBand="0" w:noVBand="1"/>
      </w:tblPr>
      <w:tblGrid>
        <w:gridCol w:w="840"/>
        <w:gridCol w:w="2500"/>
        <w:gridCol w:w="2320"/>
        <w:gridCol w:w="1340"/>
        <w:gridCol w:w="1600"/>
      </w:tblGrid>
      <w:tr w:rsidR="0001234C" w:rsidRPr="00D42A73" w14:paraId="19F3E801" w14:textId="77777777" w:rsidTr="007F2D4C">
        <w:trPr>
          <w:trHeight w:val="84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0AA34" w14:textId="77777777" w:rsidR="0001234C" w:rsidRPr="007F2D4C" w:rsidRDefault="0001234C">
            <w:pPr>
              <w:jc w:val="center"/>
              <w:rPr>
                <w:b/>
                <w:bCs/>
                <w:sz w:val="20"/>
                <w:szCs w:val="20"/>
              </w:rPr>
            </w:pPr>
            <w:r w:rsidRPr="007F2D4C">
              <w:rPr>
                <w:b/>
                <w:bCs/>
                <w:sz w:val="20"/>
                <w:szCs w:val="20"/>
              </w:rPr>
              <w:t>Red. broj</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14:paraId="5C1E605C" w14:textId="77777777" w:rsidR="0001234C" w:rsidRPr="007F2D4C" w:rsidRDefault="0001234C">
            <w:pPr>
              <w:jc w:val="center"/>
              <w:rPr>
                <w:b/>
                <w:bCs/>
                <w:sz w:val="20"/>
                <w:szCs w:val="20"/>
              </w:rPr>
            </w:pPr>
            <w:r w:rsidRPr="007F2D4C">
              <w:rPr>
                <w:b/>
                <w:bCs/>
                <w:sz w:val="20"/>
                <w:szCs w:val="20"/>
              </w:rPr>
              <w:t>Naziv</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463909A" w14:textId="77777777" w:rsidR="0001234C" w:rsidRPr="007F2D4C" w:rsidRDefault="0001234C">
            <w:pPr>
              <w:jc w:val="center"/>
              <w:rPr>
                <w:b/>
                <w:bCs/>
                <w:sz w:val="20"/>
                <w:szCs w:val="20"/>
              </w:rPr>
            </w:pPr>
            <w:r w:rsidRPr="007F2D4C">
              <w:rPr>
                <w:b/>
                <w:bCs/>
                <w:sz w:val="20"/>
                <w:szCs w:val="20"/>
              </w:rPr>
              <w:t>Valuta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AAF1BFE" w14:textId="77777777" w:rsidR="0001234C" w:rsidRPr="007F2D4C" w:rsidRDefault="0001234C">
            <w:pPr>
              <w:jc w:val="center"/>
              <w:rPr>
                <w:b/>
                <w:bCs/>
                <w:sz w:val="20"/>
                <w:szCs w:val="20"/>
              </w:rPr>
            </w:pPr>
            <w:r w:rsidRPr="007F2D4C">
              <w:rPr>
                <w:b/>
                <w:bCs/>
                <w:sz w:val="20"/>
                <w:szCs w:val="20"/>
              </w:rPr>
              <w:t>Stanje obveza na dan 31.12.2021.  (</w:t>
            </w:r>
            <w:proofErr w:type="spellStart"/>
            <w:r w:rsidRPr="007F2D4C">
              <w:rPr>
                <w:b/>
                <w:bCs/>
                <w:sz w:val="20"/>
                <w:szCs w:val="20"/>
              </w:rPr>
              <w:t>org.val</w:t>
            </w:r>
            <w:proofErr w:type="spellEnd"/>
            <w:r w:rsidRPr="007F2D4C">
              <w:rPr>
                <w:b/>
                <w:bCs/>
                <w:sz w:val="20"/>
                <w:szCs w:val="20"/>
              </w:rPr>
              <w: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AD1B405" w14:textId="77777777" w:rsidR="0001234C" w:rsidRPr="007F2D4C" w:rsidRDefault="0001234C">
            <w:pPr>
              <w:jc w:val="center"/>
              <w:rPr>
                <w:b/>
                <w:bCs/>
                <w:sz w:val="20"/>
                <w:szCs w:val="20"/>
              </w:rPr>
            </w:pPr>
            <w:r w:rsidRPr="007F2D4C">
              <w:rPr>
                <w:b/>
                <w:bCs/>
                <w:sz w:val="20"/>
                <w:szCs w:val="20"/>
              </w:rPr>
              <w:t>Stanje  obveza na 31.12.2021. u kunama</w:t>
            </w:r>
          </w:p>
        </w:tc>
      </w:tr>
      <w:tr w:rsidR="0001234C" w:rsidRPr="00D42A73" w14:paraId="289A6104" w14:textId="77777777" w:rsidTr="007F2D4C">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182D14" w14:textId="77777777" w:rsidR="0001234C" w:rsidRPr="007F2D4C" w:rsidRDefault="0001234C">
            <w:pPr>
              <w:jc w:val="center"/>
              <w:rPr>
                <w:sz w:val="20"/>
                <w:szCs w:val="20"/>
              </w:rPr>
            </w:pPr>
            <w:r w:rsidRPr="007F2D4C">
              <w:rPr>
                <w:sz w:val="20"/>
                <w:szCs w:val="20"/>
              </w:rPr>
              <w:t>1</w:t>
            </w:r>
          </w:p>
        </w:tc>
        <w:tc>
          <w:tcPr>
            <w:tcW w:w="2500" w:type="dxa"/>
            <w:tcBorders>
              <w:top w:val="nil"/>
              <w:left w:val="nil"/>
              <w:bottom w:val="single" w:sz="4" w:space="0" w:color="auto"/>
              <w:right w:val="single" w:sz="4" w:space="0" w:color="auto"/>
            </w:tcBorders>
            <w:shd w:val="clear" w:color="auto" w:fill="auto"/>
            <w:noWrap/>
            <w:vAlign w:val="center"/>
            <w:hideMark/>
          </w:tcPr>
          <w:p w14:paraId="63863360" w14:textId="77777777" w:rsidR="0001234C" w:rsidRPr="007F2D4C" w:rsidRDefault="0001234C">
            <w:pPr>
              <w:rPr>
                <w:sz w:val="20"/>
                <w:szCs w:val="20"/>
              </w:rPr>
            </w:pPr>
            <w:r w:rsidRPr="007F2D4C">
              <w:rPr>
                <w:sz w:val="20"/>
                <w:szCs w:val="20"/>
              </w:rPr>
              <w:t>IDA</w:t>
            </w:r>
          </w:p>
        </w:tc>
        <w:tc>
          <w:tcPr>
            <w:tcW w:w="2320" w:type="dxa"/>
            <w:tcBorders>
              <w:top w:val="nil"/>
              <w:left w:val="nil"/>
              <w:bottom w:val="single" w:sz="4" w:space="0" w:color="auto"/>
              <w:right w:val="single" w:sz="4" w:space="0" w:color="auto"/>
            </w:tcBorders>
            <w:shd w:val="clear" w:color="auto" w:fill="auto"/>
            <w:vAlign w:val="center"/>
            <w:hideMark/>
          </w:tcPr>
          <w:p w14:paraId="2E6DE549" w14:textId="77777777" w:rsidR="0001234C" w:rsidRPr="007F2D4C" w:rsidRDefault="0001234C">
            <w:pPr>
              <w:jc w:val="center"/>
              <w:rPr>
                <w:sz w:val="20"/>
                <w:szCs w:val="20"/>
              </w:rPr>
            </w:pPr>
            <w:r w:rsidRPr="007F2D4C">
              <w:rPr>
                <w:sz w:val="20"/>
                <w:szCs w:val="20"/>
              </w:rPr>
              <w:t>HRK</w:t>
            </w:r>
          </w:p>
        </w:tc>
        <w:tc>
          <w:tcPr>
            <w:tcW w:w="1340" w:type="dxa"/>
            <w:tcBorders>
              <w:top w:val="nil"/>
              <w:left w:val="nil"/>
              <w:bottom w:val="single" w:sz="4" w:space="0" w:color="auto"/>
              <w:right w:val="single" w:sz="4" w:space="0" w:color="auto"/>
            </w:tcBorders>
            <w:shd w:val="clear" w:color="auto" w:fill="auto"/>
            <w:vAlign w:val="center"/>
            <w:hideMark/>
          </w:tcPr>
          <w:p w14:paraId="4901DB37" w14:textId="77777777" w:rsidR="0001234C" w:rsidRPr="007F2D4C" w:rsidRDefault="0001234C">
            <w:pPr>
              <w:jc w:val="right"/>
              <w:rPr>
                <w:sz w:val="20"/>
                <w:szCs w:val="20"/>
              </w:rPr>
            </w:pPr>
            <w:r w:rsidRPr="007F2D4C">
              <w:rPr>
                <w:sz w:val="20"/>
                <w:szCs w:val="20"/>
              </w:rPr>
              <w:t>2.999.304,65</w:t>
            </w:r>
          </w:p>
        </w:tc>
        <w:tc>
          <w:tcPr>
            <w:tcW w:w="1600" w:type="dxa"/>
            <w:tcBorders>
              <w:top w:val="nil"/>
              <w:left w:val="nil"/>
              <w:bottom w:val="single" w:sz="4" w:space="0" w:color="auto"/>
              <w:right w:val="single" w:sz="4" w:space="0" w:color="auto"/>
            </w:tcBorders>
            <w:shd w:val="clear" w:color="auto" w:fill="auto"/>
            <w:vAlign w:val="center"/>
            <w:hideMark/>
          </w:tcPr>
          <w:p w14:paraId="6743A193" w14:textId="77777777" w:rsidR="0001234C" w:rsidRPr="007F2D4C" w:rsidRDefault="0001234C">
            <w:pPr>
              <w:jc w:val="right"/>
              <w:rPr>
                <w:sz w:val="20"/>
                <w:szCs w:val="20"/>
              </w:rPr>
            </w:pPr>
            <w:r w:rsidRPr="007F2D4C">
              <w:rPr>
                <w:sz w:val="20"/>
                <w:szCs w:val="20"/>
              </w:rPr>
              <w:t>2.999.304,65</w:t>
            </w:r>
          </w:p>
        </w:tc>
      </w:tr>
      <w:tr w:rsidR="0001234C" w:rsidRPr="00D42A73" w14:paraId="37AE6204" w14:textId="77777777" w:rsidTr="007F2D4C">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5889D69" w14:textId="77777777" w:rsidR="0001234C" w:rsidRPr="007F2D4C" w:rsidRDefault="0001234C">
            <w:pPr>
              <w:jc w:val="center"/>
              <w:rPr>
                <w:sz w:val="20"/>
                <w:szCs w:val="20"/>
              </w:rPr>
            </w:pPr>
            <w:r w:rsidRPr="007F2D4C">
              <w:rPr>
                <w:sz w:val="20"/>
                <w:szCs w:val="20"/>
              </w:rPr>
              <w:t>2</w:t>
            </w:r>
          </w:p>
        </w:tc>
        <w:tc>
          <w:tcPr>
            <w:tcW w:w="2500" w:type="dxa"/>
            <w:tcBorders>
              <w:top w:val="nil"/>
              <w:left w:val="nil"/>
              <w:bottom w:val="single" w:sz="4" w:space="0" w:color="auto"/>
              <w:right w:val="single" w:sz="4" w:space="0" w:color="auto"/>
            </w:tcBorders>
            <w:shd w:val="clear" w:color="auto" w:fill="auto"/>
            <w:noWrap/>
            <w:vAlign w:val="center"/>
            <w:hideMark/>
          </w:tcPr>
          <w:p w14:paraId="250B9F83" w14:textId="77777777" w:rsidR="0001234C" w:rsidRPr="007F2D4C" w:rsidRDefault="0001234C">
            <w:pPr>
              <w:rPr>
                <w:sz w:val="20"/>
                <w:szCs w:val="20"/>
              </w:rPr>
            </w:pPr>
            <w:r w:rsidRPr="007F2D4C">
              <w:rPr>
                <w:sz w:val="20"/>
                <w:szCs w:val="20"/>
              </w:rPr>
              <w:t>MIGA</w:t>
            </w:r>
          </w:p>
        </w:tc>
        <w:tc>
          <w:tcPr>
            <w:tcW w:w="2320" w:type="dxa"/>
            <w:tcBorders>
              <w:top w:val="nil"/>
              <w:left w:val="nil"/>
              <w:bottom w:val="single" w:sz="4" w:space="0" w:color="auto"/>
              <w:right w:val="single" w:sz="4" w:space="0" w:color="auto"/>
            </w:tcBorders>
            <w:shd w:val="clear" w:color="auto" w:fill="auto"/>
            <w:noWrap/>
            <w:vAlign w:val="center"/>
            <w:hideMark/>
          </w:tcPr>
          <w:p w14:paraId="49F31A50" w14:textId="77777777" w:rsidR="0001234C" w:rsidRPr="007F2D4C" w:rsidRDefault="0001234C">
            <w:pPr>
              <w:jc w:val="center"/>
              <w:rPr>
                <w:sz w:val="20"/>
                <w:szCs w:val="20"/>
              </w:rPr>
            </w:pPr>
            <w:r w:rsidRPr="007F2D4C">
              <w:rPr>
                <w:sz w:val="20"/>
                <w:szCs w:val="20"/>
              </w:rPr>
              <w:t>USD</w:t>
            </w:r>
          </w:p>
        </w:tc>
        <w:tc>
          <w:tcPr>
            <w:tcW w:w="1340" w:type="dxa"/>
            <w:tcBorders>
              <w:top w:val="nil"/>
              <w:left w:val="nil"/>
              <w:bottom w:val="single" w:sz="4" w:space="0" w:color="auto"/>
              <w:right w:val="single" w:sz="4" w:space="0" w:color="auto"/>
            </w:tcBorders>
            <w:shd w:val="clear" w:color="auto" w:fill="auto"/>
            <w:noWrap/>
            <w:vAlign w:val="center"/>
            <w:hideMark/>
          </w:tcPr>
          <w:p w14:paraId="0E4551F9" w14:textId="77777777" w:rsidR="0001234C" w:rsidRPr="007F2D4C" w:rsidRDefault="0001234C">
            <w:pPr>
              <w:jc w:val="right"/>
              <w:rPr>
                <w:sz w:val="20"/>
                <w:szCs w:val="20"/>
              </w:rPr>
            </w:pPr>
            <w:r w:rsidRPr="007F2D4C">
              <w:rPr>
                <w:sz w:val="20"/>
                <w:szCs w:val="20"/>
              </w:rPr>
              <w:t>202.334,00</w:t>
            </w:r>
          </w:p>
        </w:tc>
        <w:tc>
          <w:tcPr>
            <w:tcW w:w="1600" w:type="dxa"/>
            <w:tcBorders>
              <w:top w:val="nil"/>
              <w:left w:val="nil"/>
              <w:bottom w:val="single" w:sz="4" w:space="0" w:color="auto"/>
              <w:right w:val="single" w:sz="4" w:space="0" w:color="auto"/>
            </w:tcBorders>
            <w:shd w:val="clear" w:color="auto" w:fill="auto"/>
            <w:vAlign w:val="center"/>
            <w:hideMark/>
          </w:tcPr>
          <w:p w14:paraId="146667F2" w14:textId="77777777" w:rsidR="0001234C" w:rsidRPr="007F2D4C" w:rsidRDefault="0001234C">
            <w:pPr>
              <w:jc w:val="right"/>
              <w:rPr>
                <w:sz w:val="20"/>
                <w:szCs w:val="20"/>
              </w:rPr>
            </w:pPr>
            <w:r w:rsidRPr="007F2D4C">
              <w:rPr>
                <w:sz w:val="20"/>
                <w:szCs w:val="20"/>
              </w:rPr>
              <w:t>1.344.216,05</w:t>
            </w:r>
          </w:p>
        </w:tc>
      </w:tr>
      <w:tr w:rsidR="0001234C" w:rsidRPr="00D42A73" w14:paraId="54073884" w14:textId="77777777" w:rsidTr="007F2D4C">
        <w:trPr>
          <w:trHeight w:val="285"/>
          <w:jc w:val="center"/>
        </w:trPr>
        <w:tc>
          <w:tcPr>
            <w:tcW w:w="3340" w:type="dxa"/>
            <w:gridSpan w:val="2"/>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14:paraId="37F308A6" w14:textId="77777777" w:rsidR="0001234C" w:rsidRPr="007F2D4C" w:rsidRDefault="0001234C">
            <w:pPr>
              <w:jc w:val="center"/>
              <w:rPr>
                <w:b/>
                <w:bCs/>
                <w:sz w:val="20"/>
                <w:szCs w:val="20"/>
              </w:rPr>
            </w:pPr>
            <w:r w:rsidRPr="007F2D4C">
              <w:rPr>
                <w:b/>
                <w:bCs/>
                <w:sz w:val="20"/>
                <w:szCs w:val="20"/>
              </w:rPr>
              <w:t>UKUPNO</w:t>
            </w:r>
          </w:p>
        </w:tc>
        <w:tc>
          <w:tcPr>
            <w:tcW w:w="2320" w:type="dxa"/>
            <w:tcBorders>
              <w:top w:val="double" w:sz="6" w:space="0" w:color="auto"/>
              <w:left w:val="nil"/>
              <w:bottom w:val="double" w:sz="6" w:space="0" w:color="auto"/>
              <w:right w:val="double" w:sz="6" w:space="0" w:color="auto"/>
            </w:tcBorders>
            <w:shd w:val="clear" w:color="auto" w:fill="auto"/>
            <w:noWrap/>
            <w:vAlign w:val="center"/>
            <w:hideMark/>
          </w:tcPr>
          <w:p w14:paraId="019F8FF1" w14:textId="77777777" w:rsidR="0001234C" w:rsidRPr="007F2D4C" w:rsidRDefault="0001234C">
            <w:pPr>
              <w:jc w:val="center"/>
              <w:rPr>
                <w:b/>
                <w:bCs/>
                <w:sz w:val="20"/>
                <w:szCs w:val="20"/>
              </w:rPr>
            </w:pPr>
            <w:r w:rsidRPr="007F2D4C">
              <w:rPr>
                <w:b/>
                <w:bCs/>
                <w:sz w:val="20"/>
                <w:szCs w:val="20"/>
              </w:rPr>
              <w:t>HRK</w:t>
            </w:r>
          </w:p>
        </w:tc>
        <w:tc>
          <w:tcPr>
            <w:tcW w:w="1340" w:type="dxa"/>
            <w:tcBorders>
              <w:top w:val="double" w:sz="6" w:space="0" w:color="auto"/>
              <w:left w:val="nil"/>
              <w:bottom w:val="double" w:sz="6" w:space="0" w:color="auto"/>
              <w:right w:val="double" w:sz="6" w:space="0" w:color="auto"/>
            </w:tcBorders>
            <w:shd w:val="clear" w:color="auto" w:fill="auto"/>
            <w:noWrap/>
            <w:vAlign w:val="center"/>
            <w:hideMark/>
          </w:tcPr>
          <w:p w14:paraId="6161B68A" w14:textId="77777777" w:rsidR="0001234C" w:rsidRPr="007F2D4C" w:rsidRDefault="0001234C">
            <w:pPr>
              <w:jc w:val="right"/>
              <w:rPr>
                <w:sz w:val="20"/>
                <w:szCs w:val="20"/>
              </w:rPr>
            </w:pPr>
            <w:r w:rsidRPr="007F2D4C">
              <w:rPr>
                <w:sz w:val="20"/>
                <w:szCs w:val="20"/>
              </w:rPr>
              <w:t>2.999.304,65</w:t>
            </w:r>
          </w:p>
        </w:tc>
        <w:tc>
          <w:tcPr>
            <w:tcW w:w="1600" w:type="dxa"/>
            <w:tcBorders>
              <w:top w:val="double" w:sz="6" w:space="0" w:color="auto"/>
              <w:left w:val="nil"/>
              <w:bottom w:val="double" w:sz="6" w:space="0" w:color="auto"/>
              <w:right w:val="double" w:sz="6" w:space="0" w:color="auto"/>
            </w:tcBorders>
            <w:shd w:val="clear" w:color="auto" w:fill="auto"/>
            <w:noWrap/>
            <w:vAlign w:val="center"/>
            <w:hideMark/>
          </w:tcPr>
          <w:p w14:paraId="7CA4A97E" w14:textId="77777777" w:rsidR="0001234C" w:rsidRPr="007F2D4C" w:rsidRDefault="0001234C">
            <w:pPr>
              <w:jc w:val="right"/>
              <w:rPr>
                <w:sz w:val="20"/>
                <w:szCs w:val="20"/>
              </w:rPr>
            </w:pPr>
            <w:r w:rsidRPr="007F2D4C">
              <w:rPr>
                <w:sz w:val="20"/>
                <w:szCs w:val="20"/>
              </w:rPr>
              <w:t>2.999.304,65</w:t>
            </w:r>
          </w:p>
        </w:tc>
      </w:tr>
      <w:tr w:rsidR="0001234C" w:rsidRPr="00D42A73" w14:paraId="304D803F" w14:textId="77777777" w:rsidTr="007F2D4C">
        <w:trPr>
          <w:trHeight w:val="285"/>
          <w:jc w:val="center"/>
        </w:trPr>
        <w:tc>
          <w:tcPr>
            <w:tcW w:w="3340" w:type="dxa"/>
            <w:gridSpan w:val="2"/>
            <w:vMerge/>
            <w:tcBorders>
              <w:top w:val="double" w:sz="6" w:space="0" w:color="auto"/>
              <w:left w:val="double" w:sz="6" w:space="0" w:color="auto"/>
              <w:bottom w:val="double" w:sz="6" w:space="0" w:color="000000"/>
              <w:right w:val="double" w:sz="6" w:space="0" w:color="000000"/>
            </w:tcBorders>
            <w:vAlign w:val="center"/>
            <w:hideMark/>
          </w:tcPr>
          <w:p w14:paraId="340FEF9A" w14:textId="77777777" w:rsidR="0001234C" w:rsidRPr="007F2D4C" w:rsidRDefault="0001234C">
            <w:pPr>
              <w:rPr>
                <w:b/>
                <w:bCs/>
                <w:sz w:val="20"/>
                <w:szCs w:val="20"/>
              </w:rPr>
            </w:pPr>
          </w:p>
        </w:tc>
        <w:tc>
          <w:tcPr>
            <w:tcW w:w="2320" w:type="dxa"/>
            <w:tcBorders>
              <w:top w:val="nil"/>
              <w:left w:val="nil"/>
              <w:bottom w:val="double" w:sz="6" w:space="0" w:color="auto"/>
              <w:right w:val="double" w:sz="6" w:space="0" w:color="auto"/>
            </w:tcBorders>
            <w:shd w:val="clear" w:color="auto" w:fill="auto"/>
            <w:noWrap/>
            <w:vAlign w:val="center"/>
            <w:hideMark/>
          </w:tcPr>
          <w:p w14:paraId="6267C401" w14:textId="77777777" w:rsidR="0001234C" w:rsidRPr="007F2D4C" w:rsidRDefault="0001234C">
            <w:pPr>
              <w:jc w:val="center"/>
              <w:rPr>
                <w:b/>
                <w:bCs/>
                <w:sz w:val="20"/>
                <w:szCs w:val="20"/>
              </w:rPr>
            </w:pPr>
            <w:r w:rsidRPr="007F2D4C">
              <w:rPr>
                <w:b/>
                <w:bCs/>
                <w:sz w:val="20"/>
                <w:szCs w:val="20"/>
              </w:rPr>
              <w:t>USD</w:t>
            </w:r>
          </w:p>
        </w:tc>
        <w:tc>
          <w:tcPr>
            <w:tcW w:w="1340" w:type="dxa"/>
            <w:tcBorders>
              <w:top w:val="nil"/>
              <w:left w:val="nil"/>
              <w:bottom w:val="double" w:sz="6" w:space="0" w:color="auto"/>
              <w:right w:val="double" w:sz="6" w:space="0" w:color="auto"/>
            </w:tcBorders>
            <w:shd w:val="clear" w:color="auto" w:fill="auto"/>
            <w:noWrap/>
            <w:vAlign w:val="center"/>
            <w:hideMark/>
          </w:tcPr>
          <w:p w14:paraId="41D74B21" w14:textId="77777777" w:rsidR="0001234C" w:rsidRPr="007F2D4C" w:rsidRDefault="0001234C">
            <w:pPr>
              <w:jc w:val="right"/>
              <w:rPr>
                <w:sz w:val="20"/>
                <w:szCs w:val="20"/>
              </w:rPr>
            </w:pPr>
            <w:r w:rsidRPr="007F2D4C">
              <w:rPr>
                <w:sz w:val="20"/>
                <w:szCs w:val="20"/>
              </w:rPr>
              <w:t>202.334,00</w:t>
            </w:r>
          </w:p>
        </w:tc>
        <w:tc>
          <w:tcPr>
            <w:tcW w:w="1600" w:type="dxa"/>
            <w:tcBorders>
              <w:top w:val="nil"/>
              <w:left w:val="nil"/>
              <w:bottom w:val="double" w:sz="6" w:space="0" w:color="auto"/>
              <w:right w:val="double" w:sz="6" w:space="0" w:color="auto"/>
            </w:tcBorders>
            <w:shd w:val="clear" w:color="auto" w:fill="auto"/>
            <w:noWrap/>
            <w:vAlign w:val="center"/>
            <w:hideMark/>
          </w:tcPr>
          <w:p w14:paraId="7B6A18FC" w14:textId="77777777" w:rsidR="0001234C" w:rsidRPr="007F2D4C" w:rsidRDefault="0001234C">
            <w:pPr>
              <w:jc w:val="right"/>
              <w:rPr>
                <w:sz w:val="20"/>
                <w:szCs w:val="20"/>
              </w:rPr>
            </w:pPr>
            <w:r w:rsidRPr="007F2D4C">
              <w:rPr>
                <w:sz w:val="20"/>
                <w:szCs w:val="20"/>
              </w:rPr>
              <w:t>1.344.216,05</w:t>
            </w:r>
          </w:p>
        </w:tc>
      </w:tr>
      <w:tr w:rsidR="0001234C" w14:paraId="43F36A2B" w14:textId="77777777" w:rsidTr="007F2D4C">
        <w:trPr>
          <w:trHeight w:val="285"/>
          <w:jc w:val="center"/>
        </w:trPr>
        <w:tc>
          <w:tcPr>
            <w:tcW w:w="840" w:type="dxa"/>
            <w:tcBorders>
              <w:top w:val="nil"/>
              <w:left w:val="nil"/>
              <w:bottom w:val="nil"/>
              <w:right w:val="nil"/>
            </w:tcBorders>
            <w:shd w:val="clear" w:color="auto" w:fill="auto"/>
            <w:noWrap/>
            <w:vAlign w:val="center"/>
            <w:hideMark/>
          </w:tcPr>
          <w:p w14:paraId="283DBEBD" w14:textId="77777777" w:rsidR="0001234C" w:rsidRPr="007F2D4C" w:rsidRDefault="0001234C">
            <w:pPr>
              <w:jc w:val="right"/>
              <w:rPr>
                <w:sz w:val="20"/>
                <w:szCs w:val="20"/>
              </w:rPr>
            </w:pPr>
          </w:p>
        </w:tc>
        <w:tc>
          <w:tcPr>
            <w:tcW w:w="2500" w:type="dxa"/>
            <w:tcBorders>
              <w:top w:val="nil"/>
              <w:left w:val="nil"/>
              <w:bottom w:val="nil"/>
              <w:right w:val="nil"/>
            </w:tcBorders>
            <w:shd w:val="clear" w:color="auto" w:fill="auto"/>
            <w:noWrap/>
            <w:vAlign w:val="center"/>
            <w:hideMark/>
          </w:tcPr>
          <w:p w14:paraId="63CB27EF" w14:textId="77777777" w:rsidR="0001234C" w:rsidRPr="007F2D4C" w:rsidRDefault="0001234C">
            <w:pPr>
              <w:rPr>
                <w:sz w:val="20"/>
                <w:szCs w:val="20"/>
              </w:rPr>
            </w:pPr>
          </w:p>
        </w:tc>
        <w:tc>
          <w:tcPr>
            <w:tcW w:w="2320" w:type="dxa"/>
            <w:tcBorders>
              <w:top w:val="nil"/>
              <w:left w:val="nil"/>
              <w:bottom w:val="nil"/>
              <w:right w:val="nil"/>
            </w:tcBorders>
            <w:shd w:val="clear" w:color="auto" w:fill="auto"/>
            <w:noWrap/>
            <w:vAlign w:val="center"/>
            <w:hideMark/>
          </w:tcPr>
          <w:p w14:paraId="03C7DC69" w14:textId="77777777" w:rsidR="0001234C" w:rsidRPr="007F2D4C" w:rsidRDefault="0001234C">
            <w:pPr>
              <w:rPr>
                <w:sz w:val="20"/>
                <w:szCs w:val="20"/>
              </w:rPr>
            </w:pPr>
          </w:p>
        </w:tc>
        <w:tc>
          <w:tcPr>
            <w:tcW w:w="1340" w:type="dxa"/>
            <w:tcBorders>
              <w:top w:val="nil"/>
              <w:left w:val="nil"/>
              <w:bottom w:val="nil"/>
              <w:right w:val="nil"/>
            </w:tcBorders>
            <w:shd w:val="clear" w:color="auto" w:fill="auto"/>
            <w:noWrap/>
            <w:vAlign w:val="center"/>
            <w:hideMark/>
          </w:tcPr>
          <w:p w14:paraId="255F60CB" w14:textId="77777777" w:rsidR="0001234C" w:rsidRPr="007F2D4C" w:rsidRDefault="0001234C">
            <w:pPr>
              <w:rPr>
                <w:sz w:val="20"/>
                <w:szCs w:val="20"/>
              </w:rPr>
            </w:pPr>
          </w:p>
        </w:tc>
        <w:tc>
          <w:tcPr>
            <w:tcW w:w="1600" w:type="dxa"/>
            <w:tcBorders>
              <w:top w:val="nil"/>
              <w:left w:val="double" w:sz="6" w:space="0" w:color="auto"/>
              <w:bottom w:val="double" w:sz="6" w:space="0" w:color="auto"/>
              <w:right w:val="double" w:sz="6" w:space="0" w:color="auto"/>
            </w:tcBorders>
            <w:shd w:val="clear" w:color="auto" w:fill="auto"/>
            <w:noWrap/>
            <w:vAlign w:val="center"/>
            <w:hideMark/>
          </w:tcPr>
          <w:p w14:paraId="57110B82" w14:textId="77777777" w:rsidR="0001234C" w:rsidRPr="007F2D4C" w:rsidRDefault="0001234C">
            <w:pPr>
              <w:jc w:val="right"/>
              <w:rPr>
                <w:b/>
                <w:bCs/>
                <w:sz w:val="20"/>
                <w:szCs w:val="20"/>
              </w:rPr>
            </w:pPr>
            <w:r w:rsidRPr="007F2D4C">
              <w:rPr>
                <w:b/>
                <w:bCs/>
                <w:sz w:val="20"/>
                <w:szCs w:val="20"/>
              </w:rPr>
              <w:t>4.343.520,70</w:t>
            </w:r>
          </w:p>
        </w:tc>
      </w:tr>
    </w:tbl>
    <w:p w14:paraId="738758CE" w14:textId="31B08ECE" w:rsidR="00A90942" w:rsidRPr="00C85DCC" w:rsidRDefault="004A73A4" w:rsidP="00A90942">
      <w:pPr>
        <w:keepNext/>
        <w:jc w:val="center"/>
        <w:rPr>
          <w:sz w:val="28"/>
        </w:rPr>
      </w:pPr>
      <w:r>
        <w:rPr>
          <w:sz w:val="28"/>
        </w:rPr>
        <w:t>Bilješka 22</w:t>
      </w:r>
      <w:r w:rsidR="00A90942" w:rsidRPr="00C85DCC">
        <w:rPr>
          <w:sz w:val="28"/>
        </w:rPr>
        <w:t>.</w:t>
      </w:r>
    </w:p>
    <w:p w14:paraId="2A66CBF3" w14:textId="030C26F9" w:rsidR="00A90942" w:rsidRPr="00D42A73" w:rsidRDefault="00317243" w:rsidP="00A90942">
      <w:pPr>
        <w:keepNext/>
        <w:jc w:val="center"/>
        <w:rPr>
          <w:bCs/>
          <w:sz w:val="28"/>
        </w:rPr>
      </w:pPr>
      <w:r w:rsidRPr="00D42A73">
        <w:rPr>
          <w:bCs/>
          <w:sz w:val="28"/>
        </w:rPr>
        <w:t>AOP 196</w:t>
      </w:r>
      <w:r w:rsidR="00A90942" w:rsidRPr="00D42A73">
        <w:rPr>
          <w:bCs/>
          <w:sz w:val="28"/>
        </w:rPr>
        <w:t xml:space="preserve"> Obveza za obveznice – inozemne</w:t>
      </w:r>
    </w:p>
    <w:p w14:paraId="44AAFF85" w14:textId="15C4528B" w:rsidR="00A90942" w:rsidRPr="00D42A73" w:rsidRDefault="00A90942" w:rsidP="00A90942">
      <w:pPr>
        <w:jc w:val="both"/>
      </w:pPr>
      <w:r w:rsidRPr="00D42A73">
        <w:t xml:space="preserve">Iznos od </w:t>
      </w:r>
      <w:r w:rsidR="00672721" w:rsidRPr="00D42A73">
        <w:t>105.162.676.903</w:t>
      </w:r>
      <w:r w:rsidRPr="00D42A73">
        <w:rPr>
          <w:bCs/>
        </w:rPr>
        <w:t xml:space="preserve"> </w:t>
      </w:r>
      <w:r w:rsidR="00FE019C" w:rsidRPr="00D42A73">
        <w:rPr>
          <w:bCs/>
        </w:rPr>
        <w:t>kune</w:t>
      </w:r>
      <w:r w:rsidRPr="00D42A73">
        <w:rPr>
          <w:bCs/>
        </w:rPr>
        <w:t xml:space="preserve"> </w:t>
      </w:r>
      <w:r w:rsidRPr="00D42A73">
        <w:t>odnosi se na obvezu za sve inozemne obveznice i</w:t>
      </w:r>
      <w:r w:rsidR="00672721" w:rsidRPr="00D42A73">
        <w:t>zdane do 31. prosinca 2021</w:t>
      </w:r>
      <w:r w:rsidR="00C85DCC">
        <w:t>. U Tablici 10</w:t>
      </w:r>
      <w:r w:rsidRPr="00D42A73">
        <w:t xml:space="preserve">. dan je prikaz aktivnih obveznica izdanih na međunarodnom tržištu </w:t>
      </w:r>
      <w:r w:rsidR="00672721" w:rsidRPr="00D42A73">
        <w:t>kapitala na dan 31 prosinca 2021</w:t>
      </w:r>
      <w:r w:rsidRPr="00D42A73">
        <w:t>. s uvjetima izdanja, datumom izdan</w:t>
      </w:r>
      <w:r w:rsidR="00E814A0" w:rsidRPr="00D42A73">
        <w:t>j</w:t>
      </w:r>
      <w:r w:rsidRPr="00D42A73">
        <w:t>a te datumom dospijeća.</w:t>
      </w:r>
    </w:p>
    <w:p w14:paraId="6F196DC6" w14:textId="77777777" w:rsidR="00A90942" w:rsidRPr="00D42A73" w:rsidRDefault="00A90942" w:rsidP="00A90942">
      <w:pPr>
        <w:keepNext/>
        <w:jc w:val="both"/>
      </w:pPr>
      <w:r w:rsidRPr="00D42A73">
        <w:t>izdanih obveznica.</w:t>
      </w:r>
    </w:p>
    <w:p w14:paraId="3D954AAD" w14:textId="77777777" w:rsidR="00A90942" w:rsidRPr="00D42A73" w:rsidRDefault="00A90942" w:rsidP="00A90942">
      <w:pPr>
        <w:keepNext/>
        <w:jc w:val="both"/>
      </w:pPr>
    </w:p>
    <w:p w14:paraId="1036C72C" w14:textId="6260F707" w:rsidR="004F729D" w:rsidRPr="00D42A73" w:rsidRDefault="004A73A4" w:rsidP="00A90942">
      <w:pPr>
        <w:keepNext/>
        <w:jc w:val="both"/>
        <w:rPr>
          <w:b/>
          <w:sz w:val="20"/>
          <w:szCs w:val="20"/>
        </w:rPr>
      </w:pPr>
      <w:r>
        <w:rPr>
          <w:b/>
          <w:sz w:val="20"/>
          <w:szCs w:val="20"/>
        </w:rPr>
        <w:t>Tablica 10</w:t>
      </w:r>
      <w:r w:rsidR="00A90942" w:rsidRPr="00D42A73">
        <w:rPr>
          <w:b/>
          <w:sz w:val="20"/>
          <w:szCs w:val="20"/>
        </w:rPr>
        <w:t>.</w:t>
      </w:r>
    </w:p>
    <w:tbl>
      <w:tblPr>
        <w:tblW w:w="9505" w:type="dxa"/>
        <w:tblLook w:val="04A0" w:firstRow="1" w:lastRow="0" w:firstColumn="1" w:lastColumn="0" w:noHBand="0" w:noVBand="1"/>
      </w:tblPr>
      <w:tblGrid>
        <w:gridCol w:w="1028"/>
        <w:gridCol w:w="3849"/>
        <w:gridCol w:w="794"/>
        <w:gridCol w:w="1912"/>
        <w:gridCol w:w="1922"/>
      </w:tblGrid>
      <w:tr w:rsidR="00672721" w:rsidRPr="007F2D4C" w14:paraId="47814CBE" w14:textId="77777777" w:rsidTr="00A81FEF">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713A" w14:textId="77777777" w:rsidR="00672721" w:rsidRPr="007F2D4C" w:rsidRDefault="00672721">
            <w:pPr>
              <w:jc w:val="center"/>
              <w:rPr>
                <w:b/>
                <w:bCs/>
                <w:sz w:val="20"/>
                <w:szCs w:val="20"/>
              </w:rPr>
            </w:pPr>
            <w:r w:rsidRPr="007F2D4C">
              <w:rPr>
                <w:b/>
                <w:bCs/>
                <w:sz w:val="20"/>
                <w:szCs w:val="20"/>
              </w:rPr>
              <w:t>Red. broj</w:t>
            </w:r>
          </w:p>
        </w:tc>
        <w:tc>
          <w:tcPr>
            <w:tcW w:w="3849" w:type="dxa"/>
            <w:tcBorders>
              <w:top w:val="single" w:sz="4" w:space="0" w:color="auto"/>
              <w:left w:val="nil"/>
              <w:bottom w:val="single" w:sz="4" w:space="0" w:color="auto"/>
              <w:right w:val="single" w:sz="4" w:space="0" w:color="auto"/>
            </w:tcBorders>
            <w:shd w:val="clear" w:color="auto" w:fill="auto"/>
            <w:noWrap/>
            <w:vAlign w:val="center"/>
            <w:hideMark/>
          </w:tcPr>
          <w:p w14:paraId="344AA9BE" w14:textId="77777777" w:rsidR="00672721" w:rsidRPr="007F2D4C" w:rsidRDefault="00672721">
            <w:pPr>
              <w:jc w:val="center"/>
              <w:rPr>
                <w:b/>
                <w:bCs/>
                <w:sz w:val="20"/>
                <w:szCs w:val="20"/>
              </w:rPr>
            </w:pPr>
            <w:r w:rsidRPr="007F2D4C">
              <w:rPr>
                <w:b/>
                <w:bCs/>
                <w:sz w:val="20"/>
                <w:szCs w:val="20"/>
              </w:rPr>
              <w:t>Naziv</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F5EB88A" w14:textId="77777777" w:rsidR="00672721" w:rsidRPr="007F2D4C" w:rsidRDefault="00672721">
            <w:pPr>
              <w:jc w:val="center"/>
              <w:rPr>
                <w:b/>
                <w:bCs/>
                <w:sz w:val="20"/>
                <w:szCs w:val="20"/>
              </w:rPr>
            </w:pPr>
            <w:r w:rsidRPr="007F2D4C">
              <w:rPr>
                <w:b/>
                <w:bCs/>
                <w:sz w:val="20"/>
                <w:szCs w:val="20"/>
              </w:rPr>
              <w:t>Valuta</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5FDA49CB" w14:textId="77777777" w:rsidR="00672721" w:rsidRPr="007F2D4C" w:rsidRDefault="00672721">
            <w:pPr>
              <w:jc w:val="center"/>
              <w:rPr>
                <w:b/>
                <w:bCs/>
                <w:sz w:val="20"/>
                <w:szCs w:val="20"/>
              </w:rPr>
            </w:pPr>
            <w:r w:rsidRPr="007F2D4C">
              <w:rPr>
                <w:b/>
                <w:bCs/>
                <w:sz w:val="20"/>
                <w:szCs w:val="20"/>
              </w:rPr>
              <w:t>Stanje obveza na dan 31.12.2021. (</w:t>
            </w:r>
            <w:proofErr w:type="spellStart"/>
            <w:r w:rsidRPr="007F2D4C">
              <w:rPr>
                <w:b/>
                <w:bCs/>
                <w:sz w:val="20"/>
                <w:szCs w:val="20"/>
              </w:rPr>
              <w:t>org.val</w:t>
            </w:r>
            <w:proofErr w:type="spellEnd"/>
            <w:r w:rsidRPr="007F2D4C">
              <w:rPr>
                <w:b/>
                <w:bCs/>
                <w:sz w:val="20"/>
                <w:szCs w:val="20"/>
              </w:rPr>
              <w:t>.)</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544DCB69" w14:textId="77777777" w:rsidR="00672721" w:rsidRPr="007F2D4C" w:rsidRDefault="00672721">
            <w:pPr>
              <w:jc w:val="center"/>
              <w:rPr>
                <w:b/>
                <w:bCs/>
                <w:sz w:val="20"/>
                <w:szCs w:val="20"/>
              </w:rPr>
            </w:pPr>
            <w:r w:rsidRPr="007F2D4C">
              <w:rPr>
                <w:b/>
                <w:bCs/>
                <w:sz w:val="20"/>
                <w:szCs w:val="20"/>
              </w:rPr>
              <w:t>Stanje obveza na 31.12.2021. u kunama</w:t>
            </w:r>
          </w:p>
        </w:tc>
      </w:tr>
      <w:tr w:rsidR="00672721" w:rsidRPr="007F2D4C" w14:paraId="508283DD"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9E772" w14:textId="77777777" w:rsidR="00672721" w:rsidRPr="007F2D4C" w:rsidRDefault="00672721">
            <w:pPr>
              <w:jc w:val="center"/>
              <w:rPr>
                <w:sz w:val="20"/>
                <w:szCs w:val="20"/>
              </w:rPr>
            </w:pPr>
            <w:r w:rsidRPr="007F2D4C">
              <w:rPr>
                <w:sz w:val="20"/>
                <w:szCs w:val="20"/>
              </w:rPr>
              <w:t>1.</w:t>
            </w:r>
          </w:p>
        </w:tc>
        <w:tc>
          <w:tcPr>
            <w:tcW w:w="3849" w:type="dxa"/>
            <w:tcBorders>
              <w:top w:val="nil"/>
              <w:left w:val="nil"/>
              <w:bottom w:val="single" w:sz="4" w:space="0" w:color="auto"/>
              <w:right w:val="single" w:sz="4" w:space="0" w:color="auto"/>
            </w:tcBorders>
            <w:shd w:val="clear" w:color="auto" w:fill="auto"/>
            <w:noWrap/>
            <w:vAlign w:val="center"/>
            <w:hideMark/>
          </w:tcPr>
          <w:p w14:paraId="67E0D2C2" w14:textId="77777777" w:rsidR="00672721" w:rsidRPr="007F2D4C" w:rsidRDefault="00672721">
            <w:pPr>
              <w:rPr>
                <w:sz w:val="20"/>
                <w:szCs w:val="20"/>
              </w:rPr>
            </w:pPr>
            <w:r w:rsidRPr="007F2D4C">
              <w:rPr>
                <w:sz w:val="20"/>
                <w:szCs w:val="20"/>
              </w:rPr>
              <w:t>Euro-USD obveznice V D-23 (</w:t>
            </w:r>
            <w:proofErr w:type="spellStart"/>
            <w:r w:rsidRPr="007F2D4C">
              <w:rPr>
                <w:sz w:val="20"/>
                <w:szCs w:val="20"/>
              </w:rPr>
              <w:t>cross</w:t>
            </w:r>
            <w:proofErr w:type="spellEnd"/>
            <w:r w:rsidRPr="007F2D4C">
              <w:rPr>
                <w:sz w:val="20"/>
                <w:szCs w:val="20"/>
              </w:rPr>
              <w:t xml:space="preserve"> </w:t>
            </w:r>
            <w:proofErr w:type="spellStart"/>
            <w:r w:rsidRPr="007F2D4C">
              <w:rPr>
                <w:sz w:val="20"/>
                <w:szCs w:val="20"/>
              </w:rPr>
              <w:t>currency</w:t>
            </w:r>
            <w:proofErr w:type="spellEnd"/>
            <w:r w:rsidRPr="007F2D4C">
              <w:rPr>
                <w:sz w:val="20"/>
                <w:szCs w:val="20"/>
              </w:rPr>
              <w:t xml:space="preserve"> </w:t>
            </w:r>
            <w:proofErr w:type="spellStart"/>
            <w:r w:rsidRPr="007F2D4C">
              <w:rPr>
                <w:sz w:val="20"/>
                <w:szCs w:val="20"/>
              </w:rPr>
              <w:t>swap</w:t>
            </w:r>
            <w:proofErr w:type="spellEnd"/>
            <w:r w:rsidRPr="007F2D4C">
              <w:rPr>
                <w:sz w:val="20"/>
                <w:szCs w:val="20"/>
              </w:rPr>
              <w:t>)</w:t>
            </w:r>
          </w:p>
        </w:tc>
        <w:tc>
          <w:tcPr>
            <w:tcW w:w="794" w:type="dxa"/>
            <w:tcBorders>
              <w:top w:val="nil"/>
              <w:left w:val="nil"/>
              <w:bottom w:val="single" w:sz="4" w:space="0" w:color="auto"/>
              <w:right w:val="single" w:sz="4" w:space="0" w:color="auto"/>
            </w:tcBorders>
            <w:shd w:val="clear" w:color="auto" w:fill="auto"/>
            <w:noWrap/>
            <w:vAlign w:val="center"/>
            <w:hideMark/>
          </w:tcPr>
          <w:p w14:paraId="37024E38"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6E7F89D7" w14:textId="77777777" w:rsidR="00672721" w:rsidRPr="007F2D4C" w:rsidRDefault="00672721">
            <w:pPr>
              <w:jc w:val="right"/>
              <w:rPr>
                <w:sz w:val="20"/>
                <w:szCs w:val="20"/>
              </w:rPr>
            </w:pPr>
            <w:r w:rsidRPr="007F2D4C">
              <w:rPr>
                <w:sz w:val="20"/>
                <w:szCs w:val="20"/>
              </w:rPr>
              <w:t>1.167.406.023,82</w:t>
            </w:r>
          </w:p>
        </w:tc>
        <w:tc>
          <w:tcPr>
            <w:tcW w:w="1922" w:type="dxa"/>
            <w:tcBorders>
              <w:top w:val="nil"/>
              <w:left w:val="nil"/>
              <w:bottom w:val="single" w:sz="4" w:space="0" w:color="auto"/>
              <w:right w:val="single" w:sz="4" w:space="0" w:color="auto"/>
            </w:tcBorders>
            <w:shd w:val="clear" w:color="auto" w:fill="auto"/>
            <w:noWrap/>
            <w:vAlign w:val="center"/>
            <w:hideMark/>
          </w:tcPr>
          <w:p w14:paraId="2DD7F298" w14:textId="77777777" w:rsidR="00672721" w:rsidRPr="007F2D4C" w:rsidRDefault="00672721">
            <w:pPr>
              <w:jc w:val="right"/>
              <w:rPr>
                <w:sz w:val="20"/>
                <w:szCs w:val="20"/>
              </w:rPr>
            </w:pPr>
            <w:r w:rsidRPr="007F2D4C">
              <w:rPr>
                <w:sz w:val="20"/>
                <w:szCs w:val="20"/>
              </w:rPr>
              <w:t>8.775.589.540,08</w:t>
            </w:r>
          </w:p>
        </w:tc>
      </w:tr>
      <w:tr w:rsidR="00672721" w:rsidRPr="007F2D4C" w14:paraId="24949DC1"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099C89" w14:textId="77777777" w:rsidR="00672721" w:rsidRPr="007F2D4C" w:rsidRDefault="00672721">
            <w:pPr>
              <w:jc w:val="center"/>
              <w:rPr>
                <w:sz w:val="20"/>
                <w:szCs w:val="20"/>
              </w:rPr>
            </w:pPr>
            <w:r w:rsidRPr="007F2D4C">
              <w:rPr>
                <w:sz w:val="20"/>
                <w:szCs w:val="20"/>
              </w:rPr>
              <w:t>2.</w:t>
            </w:r>
          </w:p>
        </w:tc>
        <w:tc>
          <w:tcPr>
            <w:tcW w:w="3849" w:type="dxa"/>
            <w:tcBorders>
              <w:top w:val="nil"/>
              <w:left w:val="nil"/>
              <w:bottom w:val="single" w:sz="4" w:space="0" w:color="auto"/>
              <w:right w:val="single" w:sz="4" w:space="0" w:color="auto"/>
            </w:tcBorders>
            <w:shd w:val="clear" w:color="auto" w:fill="auto"/>
            <w:noWrap/>
            <w:vAlign w:val="center"/>
            <w:hideMark/>
          </w:tcPr>
          <w:p w14:paraId="1DC71926" w14:textId="77777777" w:rsidR="00672721" w:rsidRPr="007F2D4C" w:rsidRDefault="00672721">
            <w:pPr>
              <w:rPr>
                <w:sz w:val="20"/>
                <w:szCs w:val="20"/>
              </w:rPr>
            </w:pPr>
            <w:r w:rsidRPr="007F2D4C">
              <w:rPr>
                <w:sz w:val="20"/>
                <w:szCs w:val="20"/>
              </w:rPr>
              <w:t>Euro-USD obveznice VI D-24 (</w:t>
            </w:r>
            <w:proofErr w:type="spellStart"/>
            <w:r w:rsidRPr="007F2D4C">
              <w:rPr>
                <w:sz w:val="20"/>
                <w:szCs w:val="20"/>
              </w:rPr>
              <w:t>cross</w:t>
            </w:r>
            <w:proofErr w:type="spellEnd"/>
            <w:r w:rsidRPr="007F2D4C">
              <w:rPr>
                <w:sz w:val="20"/>
                <w:szCs w:val="20"/>
              </w:rPr>
              <w:t xml:space="preserve"> </w:t>
            </w:r>
            <w:proofErr w:type="spellStart"/>
            <w:r w:rsidRPr="007F2D4C">
              <w:rPr>
                <w:sz w:val="20"/>
                <w:szCs w:val="20"/>
              </w:rPr>
              <w:t>currency</w:t>
            </w:r>
            <w:proofErr w:type="spellEnd"/>
            <w:r w:rsidRPr="007F2D4C">
              <w:rPr>
                <w:sz w:val="20"/>
                <w:szCs w:val="20"/>
              </w:rPr>
              <w:t xml:space="preserve"> </w:t>
            </w:r>
            <w:proofErr w:type="spellStart"/>
            <w:r w:rsidRPr="007F2D4C">
              <w:rPr>
                <w:sz w:val="20"/>
                <w:szCs w:val="20"/>
              </w:rPr>
              <w:t>swap</w:t>
            </w:r>
            <w:proofErr w:type="spellEnd"/>
            <w:r w:rsidRPr="007F2D4C">
              <w:rPr>
                <w:sz w:val="20"/>
                <w:szCs w:val="20"/>
              </w:rPr>
              <w:t>)</w:t>
            </w:r>
          </w:p>
        </w:tc>
        <w:tc>
          <w:tcPr>
            <w:tcW w:w="794" w:type="dxa"/>
            <w:tcBorders>
              <w:top w:val="nil"/>
              <w:left w:val="nil"/>
              <w:bottom w:val="single" w:sz="4" w:space="0" w:color="auto"/>
              <w:right w:val="single" w:sz="4" w:space="0" w:color="auto"/>
            </w:tcBorders>
            <w:shd w:val="clear" w:color="auto" w:fill="auto"/>
            <w:noWrap/>
            <w:vAlign w:val="center"/>
            <w:hideMark/>
          </w:tcPr>
          <w:p w14:paraId="7A1C976D"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35EA1B85" w14:textId="77777777" w:rsidR="00672721" w:rsidRPr="007F2D4C" w:rsidRDefault="00672721">
            <w:pPr>
              <w:jc w:val="right"/>
              <w:rPr>
                <w:sz w:val="20"/>
                <w:szCs w:val="20"/>
              </w:rPr>
            </w:pPr>
            <w:r w:rsidRPr="007F2D4C">
              <w:rPr>
                <w:sz w:val="20"/>
                <w:szCs w:val="20"/>
              </w:rPr>
              <w:t>1.297.257.227,56</w:t>
            </w:r>
          </w:p>
        </w:tc>
        <w:tc>
          <w:tcPr>
            <w:tcW w:w="1922" w:type="dxa"/>
            <w:tcBorders>
              <w:top w:val="nil"/>
              <w:left w:val="nil"/>
              <w:bottom w:val="single" w:sz="4" w:space="0" w:color="auto"/>
              <w:right w:val="single" w:sz="4" w:space="0" w:color="auto"/>
            </w:tcBorders>
            <w:shd w:val="clear" w:color="auto" w:fill="auto"/>
            <w:noWrap/>
            <w:vAlign w:val="center"/>
            <w:hideMark/>
          </w:tcPr>
          <w:p w14:paraId="712E9EF2" w14:textId="77777777" w:rsidR="00672721" w:rsidRPr="007F2D4C" w:rsidRDefault="00672721">
            <w:pPr>
              <w:jc w:val="right"/>
              <w:rPr>
                <w:sz w:val="20"/>
                <w:szCs w:val="20"/>
              </w:rPr>
            </w:pPr>
            <w:r w:rsidRPr="007F2D4C">
              <w:rPr>
                <w:sz w:val="20"/>
                <w:szCs w:val="20"/>
              </w:rPr>
              <w:t>9.751.703.113,30</w:t>
            </w:r>
          </w:p>
        </w:tc>
      </w:tr>
      <w:tr w:rsidR="00672721" w:rsidRPr="007F2D4C" w14:paraId="152B51E9"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4C80E" w14:textId="77777777" w:rsidR="00672721" w:rsidRPr="007F2D4C" w:rsidRDefault="00672721">
            <w:pPr>
              <w:jc w:val="center"/>
              <w:rPr>
                <w:sz w:val="20"/>
                <w:szCs w:val="20"/>
              </w:rPr>
            </w:pPr>
            <w:r w:rsidRPr="007F2D4C">
              <w:rPr>
                <w:sz w:val="20"/>
                <w:szCs w:val="20"/>
              </w:rPr>
              <w:t>3.</w:t>
            </w:r>
          </w:p>
        </w:tc>
        <w:tc>
          <w:tcPr>
            <w:tcW w:w="3849" w:type="dxa"/>
            <w:tcBorders>
              <w:top w:val="nil"/>
              <w:left w:val="nil"/>
              <w:bottom w:val="nil"/>
              <w:right w:val="single" w:sz="4" w:space="0" w:color="auto"/>
            </w:tcBorders>
            <w:shd w:val="clear" w:color="auto" w:fill="auto"/>
            <w:noWrap/>
            <w:vAlign w:val="center"/>
            <w:hideMark/>
          </w:tcPr>
          <w:p w14:paraId="3F2BC436" w14:textId="77777777" w:rsidR="00672721" w:rsidRPr="007F2D4C" w:rsidRDefault="00672721">
            <w:pPr>
              <w:rPr>
                <w:sz w:val="20"/>
                <w:szCs w:val="20"/>
              </w:rPr>
            </w:pPr>
            <w:r w:rsidRPr="007F2D4C">
              <w:rPr>
                <w:sz w:val="20"/>
                <w:szCs w:val="20"/>
              </w:rPr>
              <w:t>Euro-EUR obveznice/IX</w:t>
            </w:r>
          </w:p>
        </w:tc>
        <w:tc>
          <w:tcPr>
            <w:tcW w:w="794" w:type="dxa"/>
            <w:tcBorders>
              <w:top w:val="nil"/>
              <w:left w:val="nil"/>
              <w:bottom w:val="nil"/>
              <w:right w:val="single" w:sz="4" w:space="0" w:color="auto"/>
            </w:tcBorders>
            <w:shd w:val="clear" w:color="auto" w:fill="auto"/>
            <w:noWrap/>
            <w:vAlign w:val="center"/>
            <w:hideMark/>
          </w:tcPr>
          <w:p w14:paraId="0D1320AA"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31D8D374" w14:textId="77777777" w:rsidR="00672721" w:rsidRPr="007F2D4C" w:rsidRDefault="00672721">
            <w:pPr>
              <w:jc w:val="right"/>
              <w:rPr>
                <w:sz w:val="20"/>
                <w:szCs w:val="20"/>
              </w:rPr>
            </w:pPr>
            <w:r w:rsidRPr="007F2D4C">
              <w:rPr>
                <w:sz w:val="20"/>
                <w:szCs w:val="20"/>
              </w:rPr>
              <w:t>1.250.000.000,00</w:t>
            </w:r>
          </w:p>
        </w:tc>
        <w:tc>
          <w:tcPr>
            <w:tcW w:w="1922" w:type="dxa"/>
            <w:tcBorders>
              <w:top w:val="nil"/>
              <w:left w:val="nil"/>
              <w:bottom w:val="single" w:sz="4" w:space="0" w:color="auto"/>
              <w:right w:val="single" w:sz="4" w:space="0" w:color="auto"/>
            </w:tcBorders>
            <w:shd w:val="clear" w:color="auto" w:fill="auto"/>
            <w:noWrap/>
            <w:vAlign w:val="center"/>
            <w:hideMark/>
          </w:tcPr>
          <w:p w14:paraId="6634DDBC" w14:textId="77777777" w:rsidR="00672721" w:rsidRPr="007F2D4C" w:rsidRDefault="00672721">
            <w:pPr>
              <w:jc w:val="right"/>
              <w:rPr>
                <w:sz w:val="20"/>
                <w:szCs w:val="20"/>
              </w:rPr>
            </w:pPr>
            <w:r w:rsidRPr="007F2D4C">
              <w:rPr>
                <w:sz w:val="20"/>
                <w:szCs w:val="20"/>
              </w:rPr>
              <w:t>9.396.462.500,00</w:t>
            </w:r>
          </w:p>
        </w:tc>
      </w:tr>
      <w:tr w:rsidR="00672721" w:rsidRPr="007F2D4C" w14:paraId="3888F861"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21E9A" w14:textId="77777777" w:rsidR="00672721" w:rsidRPr="007F2D4C" w:rsidRDefault="00672721">
            <w:pPr>
              <w:jc w:val="center"/>
              <w:rPr>
                <w:sz w:val="20"/>
                <w:szCs w:val="20"/>
              </w:rPr>
            </w:pPr>
            <w:r w:rsidRPr="007F2D4C">
              <w:rPr>
                <w:sz w:val="20"/>
                <w:szCs w:val="20"/>
              </w:rPr>
              <w:t>4.</w:t>
            </w:r>
          </w:p>
        </w:tc>
        <w:tc>
          <w:tcPr>
            <w:tcW w:w="3849" w:type="dxa"/>
            <w:tcBorders>
              <w:top w:val="single" w:sz="4" w:space="0" w:color="auto"/>
              <w:left w:val="nil"/>
              <w:bottom w:val="single" w:sz="4" w:space="0" w:color="auto"/>
              <w:right w:val="single" w:sz="4" w:space="0" w:color="auto"/>
            </w:tcBorders>
            <w:shd w:val="clear" w:color="auto" w:fill="auto"/>
            <w:noWrap/>
            <w:vAlign w:val="center"/>
            <w:hideMark/>
          </w:tcPr>
          <w:p w14:paraId="188CD450" w14:textId="77777777" w:rsidR="00672721" w:rsidRPr="007F2D4C" w:rsidRDefault="00672721">
            <w:pPr>
              <w:rPr>
                <w:sz w:val="20"/>
                <w:szCs w:val="20"/>
              </w:rPr>
            </w:pPr>
            <w:r w:rsidRPr="007F2D4C">
              <w:rPr>
                <w:sz w:val="20"/>
                <w:szCs w:val="20"/>
              </w:rPr>
              <w:t>Euro-EUR obveznice/X</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6DB9B6C9"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8A61FEE" w14:textId="77777777" w:rsidR="00672721" w:rsidRPr="007F2D4C" w:rsidRDefault="00672721">
            <w:pPr>
              <w:jc w:val="right"/>
              <w:rPr>
                <w:sz w:val="20"/>
                <w:szCs w:val="20"/>
              </w:rPr>
            </w:pPr>
            <w:r w:rsidRPr="007F2D4C">
              <w:rPr>
                <w:sz w:val="20"/>
                <w:szCs w:val="20"/>
              </w:rPr>
              <w:t>1.500.000.000,00</w:t>
            </w:r>
          </w:p>
        </w:tc>
        <w:tc>
          <w:tcPr>
            <w:tcW w:w="1922" w:type="dxa"/>
            <w:tcBorders>
              <w:top w:val="nil"/>
              <w:left w:val="nil"/>
              <w:bottom w:val="single" w:sz="4" w:space="0" w:color="auto"/>
              <w:right w:val="single" w:sz="4" w:space="0" w:color="auto"/>
            </w:tcBorders>
            <w:shd w:val="clear" w:color="auto" w:fill="auto"/>
            <w:noWrap/>
            <w:vAlign w:val="center"/>
            <w:hideMark/>
          </w:tcPr>
          <w:p w14:paraId="682397F1" w14:textId="77777777" w:rsidR="00672721" w:rsidRPr="007F2D4C" w:rsidRDefault="00672721">
            <w:pPr>
              <w:jc w:val="right"/>
              <w:rPr>
                <w:sz w:val="20"/>
                <w:szCs w:val="20"/>
              </w:rPr>
            </w:pPr>
            <w:r w:rsidRPr="007F2D4C">
              <w:rPr>
                <w:sz w:val="20"/>
                <w:szCs w:val="20"/>
              </w:rPr>
              <w:t>11.275.755.000,00</w:t>
            </w:r>
          </w:p>
        </w:tc>
      </w:tr>
      <w:tr w:rsidR="00672721" w:rsidRPr="007F2D4C" w14:paraId="1C332211"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D766E" w14:textId="77777777" w:rsidR="00672721" w:rsidRPr="007F2D4C" w:rsidRDefault="00672721">
            <w:pPr>
              <w:jc w:val="center"/>
              <w:rPr>
                <w:sz w:val="20"/>
                <w:szCs w:val="20"/>
              </w:rPr>
            </w:pPr>
            <w:r w:rsidRPr="007F2D4C">
              <w:rPr>
                <w:sz w:val="20"/>
                <w:szCs w:val="20"/>
              </w:rPr>
              <w:t>5.</w:t>
            </w:r>
          </w:p>
        </w:tc>
        <w:tc>
          <w:tcPr>
            <w:tcW w:w="3849" w:type="dxa"/>
            <w:tcBorders>
              <w:top w:val="nil"/>
              <w:left w:val="nil"/>
              <w:bottom w:val="single" w:sz="4" w:space="0" w:color="auto"/>
              <w:right w:val="single" w:sz="4" w:space="0" w:color="auto"/>
            </w:tcBorders>
            <w:shd w:val="clear" w:color="auto" w:fill="auto"/>
            <w:noWrap/>
            <w:vAlign w:val="center"/>
            <w:hideMark/>
          </w:tcPr>
          <w:p w14:paraId="0EA547F6" w14:textId="77777777" w:rsidR="00672721" w:rsidRPr="007F2D4C" w:rsidRDefault="00672721">
            <w:pPr>
              <w:rPr>
                <w:sz w:val="20"/>
                <w:szCs w:val="20"/>
              </w:rPr>
            </w:pPr>
            <w:r w:rsidRPr="007F2D4C">
              <w:rPr>
                <w:sz w:val="20"/>
                <w:szCs w:val="20"/>
              </w:rPr>
              <w:t>Euro-EUR obveznice/XI</w:t>
            </w:r>
          </w:p>
        </w:tc>
        <w:tc>
          <w:tcPr>
            <w:tcW w:w="794" w:type="dxa"/>
            <w:tcBorders>
              <w:top w:val="nil"/>
              <w:left w:val="nil"/>
              <w:bottom w:val="single" w:sz="4" w:space="0" w:color="auto"/>
              <w:right w:val="single" w:sz="4" w:space="0" w:color="auto"/>
            </w:tcBorders>
            <w:shd w:val="clear" w:color="auto" w:fill="auto"/>
            <w:noWrap/>
            <w:vAlign w:val="center"/>
            <w:hideMark/>
          </w:tcPr>
          <w:p w14:paraId="75C64E5A"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53B8D66B" w14:textId="77777777" w:rsidR="00672721" w:rsidRPr="007F2D4C" w:rsidRDefault="00672721">
            <w:pPr>
              <w:jc w:val="right"/>
              <w:rPr>
                <w:sz w:val="20"/>
                <w:szCs w:val="20"/>
              </w:rPr>
            </w:pPr>
            <w:r w:rsidRPr="007F2D4C">
              <w:rPr>
                <w:sz w:val="20"/>
                <w:szCs w:val="20"/>
              </w:rPr>
              <w:t>1.250.000.000,00</w:t>
            </w:r>
          </w:p>
        </w:tc>
        <w:tc>
          <w:tcPr>
            <w:tcW w:w="1922" w:type="dxa"/>
            <w:tcBorders>
              <w:top w:val="nil"/>
              <w:left w:val="nil"/>
              <w:bottom w:val="single" w:sz="4" w:space="0" w:color="auto"/>
              <w:right w:val="single" w:sz="4" w:space="0" w:color="auto"/>
            </w:tcBorders>
            <w:shd w:val="clear" w:color="auto" w:fill="auto"/>
            <w:noWrap/>
            <w:vAlign w:val="center"/>
            <w:hideMark/>
          </w:tcPr>
          <w:p w14:paraId="7506AD4C" w14:textId="77777777" w:rsidR="00672721" w:rsidRPr="007F2D4C" w:rsidRDefault="00672721">
            <w:pPr>
              <w:jc w:val="right"/>
              <w:rPr>
                <w:sz w:val="20"/>
                <w:szCs w:val="20"/>
              </w:rPr>
            </w:pPr>
            <w:r w:rsidRPr="007F2D4C">
              <w:rPr>
                <w:sz w:val="20"/>
                <w:szCs w:val="20"/>
              </w:rPr>
              <w:t>9.396.462.500,00</w:t>
            </w:r>
          </w:p>
        </w:tc>
      </w:tr>
      <w:tr w:rsidR="00672721" w:rsidRPr="007F2D4C" w14:paraId="48089187"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AE978D" w14:textId="77777777" w:rsidR="00672721" w:rsidRPr="007F2D4C" w:rsidRDefault="00672721">
            <w:pPr>
              <w:jc w:val="center"/>
              <w:rPr>
                <w:sz w:val="20"/>
                <w:szCs w:val="20"/>
              </w:rPr>
            </w:pPr>
            <w:r w:rsidRPr="007F2D4C">
              <w:rPr>
                <w:sz w:val="20"/>
                <w:szCs w:val="20"/>
              </w:rPr>
              <w:t>6.</w:t>
            </w:r>
          </w:p>
        </w:tc>
        <w:tc>
          <w:tcPr>
            <w:tcW w:w="3849" w:type="dxa"/>
            <w:tcBorders>
              <w:top w:val="nil"/>
              <w:left w:val="nil"/>
              <w:bottom w:val="single" w:sz="4" w:space="0" w:color="auto"/>
              <w:right w:val="single" w:sz="4" w:space="0" w:color="auto"/>
            </w:tcBorders>
            <w:shd w:val="clear" w:color="auto" w:fill="auto"/>
            <w:noWrap/>
            <w:vAlign w:val="center"/>
            <w:hideMark/>
          </w:tcPr>
          <w:p w14:paraId="74F8F0F5" w14:textId="77777777" w:rsidR="00672721" w:rsidRPr="007F2D4C" w:rsidRDefault="00672721">
            <w:pPr>
              <w:rPr>
                <w:sz w:val="20"/>
                <w:szCs w:val="20"/>
              </w:rPr>
            </w:pPr>
            <w:r w:rsidRPr="007F2D4C">
              <w:rPr>
                <w:sz w:val="20"/>
                <w:szCs w:val="20"/>
              </w:rPr>
              <w:t>Euro-EUR obveznice/XII</w:t>
            </w:r>
          </w:p>
        </w:tc>
        <w:tc>
          <w:tcPr>
            <w:tcW w:w="794" w:type="dxa"/>
            <w:tcBorders>
              <w:top w:val="nil"/>
              <w:left w:val="nil"/>
              <w:bottom w:val="single" w:sz="4" w:space="0" w:color="auto"/>
              <w:right w:val="single" w:sz="4" w:space="0" w:color="auto"/>
            </w:tcBorders>
            <w:shd w:val="clear" w:color="auto" w:fill="auto"/>
            <w:noWrap/>
            <w:vAlign w:val="center"/>
            <w:hideMark/>
          </w:tcPr>
          <w:p w14:paraId="0D40E736"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DF2AE01" w14:textId="77777777" w:rsidR="00672721" w:rsidRPr="007F2D4C" w:rsidRDefault="00672721">
            <w:pPr>
              <w:jc w:val="right"/>
              <w:rPr>
                <w:sz w:val="20"/>
                <w:szCs w:val="20"/>
              </w:rPr>
            </w:pPr>
            <w:r w:rsidRPr="007F2D4C">
              <w:rPr>
                <w:sz w:val="20"/>
                <w:szCs w:val="20"/>
              </w:rPr>
              <w:t>1.275.000.000,00</w:t>
            </w:r>
          </w:p>
        </w:tc>
        <w:tc>
          <w:tcPr>
            <w:tcW w:w="1922" w:type="dxa"/>
            <w:tcBorders>
              <w:top w:val="nil"/>
              <w:left w:val="nil"/>
              <w:bottom w:val="single" w:sz="4" w:space="0" w:color="auto"/>
              <w:right w:val="single" w:sz="4" w:space="0" w:color="auto"/>
            </w:tcBorders>
            <w:shd w:val="clear" w:color="auto" w:fill="auto"/>
            <w:noWrap/>
            <w:vAlign w:val="center"/>
            <w:hideMark/>
          </w:tcPr>
          <w:p w14:paraId="320A165C" w14:textId="77777777" w:rsidR="00672721" w:rsidRPr="007F2D4C" w:rsidRDefault="00672721">
            <w:pPr>
              <w:jc w:val="right"/>
              <w:rPr>
                <w:sz w:val="20"/>
                <w:szCs w:val="20"/>
              </w:rPr>
            </w:pPr>
            <w:r w:rsidRPr="007F2D4C">
              <w:rPr>
                <w:sz w:val="20"/>
                <w:szCs w:val="20"/>
              </w:rPr>
              <w:t>9.584.391.750,00</w:t>
            </w:r>
          </w:p>
        </w:tc>
      </w:tr>
      <w:tr w:rsidR="00672721" w:rsidRPr="007F2D4C" w14:paraId="49076B22"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C3B42C" w14:textId="77777777" w:rsidR="00672721" w:rsidRPr="007F2D4C" w:rsidRDefault="00672721">
            <w:pPr>
              <w:jc w:val="center"/>
              <w:rPr>
                <w:sz w:val="20"/>
                <w:szCs w:val="20"/>
              </w:rPr>
            </w:pPr>
            <w:r w:rsidRPr="007F2D4C">
              <w:rPr>
                <w:sz w:val="20"/>
                <w:szCs w:val="20"/>
              </w:rPr>
              <w:t>7.</w:t>
            </w:r>
          </w:p>
        </w:tc>
        <w:tc>
          <w:tcPr>
            <w:tcW w:w="3849" w:type="dxa"/>
            <w:tcBorders>
              <w:top w:val="nil"/>
              <w:left w:val="nil"/>
              <w:bottom w:val="single" w:sz="4" w:space="0" w:color="auto"/>
              <w:right w:val="single" w:sz="4" w:space="0" w:color="auto"/>
            </w:tcBorders>
            <w:shd w:val="clear" w:color="auto" w:fill="auto"/>
            <w:noWrap/>
            <w:vAlign w:val="center"/>
            <w:hideMark/>
          </w:tcPr>
          <w:p w14:paraId="6DE3C470" w14:textId="77777777" w:rsidR="00672721" w:rsidRPr="007F2D4C" w:rsidRDefault="00672721">
            <w:pPr>
              <w:rPr>
                <w:sz w:val="20"/>
                <w:szCs w:val="20"/>
              </w:rPr>
            </w:pPr>
            <w:r w:rsidRPr="007F2D4C">
              <w:rPr>
                <w:sz w:val="20"/>
                <w:szCs w:val="20"/>
              </w:rPr>
              <w:t>Euro-EUR obveznice/XIII</w:t>
            </w:r>
          </w:p>
        </w:tc>
        <w:tc>
          <w:tcPr>
            <w:tcW w:w="794" w:type="dxa"/>
            <w:tcBorders>
              <w:top w:val="nil"/>
              <w:left w:val="nil"/>
              <w:bottom w:val="single" w:sz="4" w:space="0" w:color="auto"/>
              <w:right w:val="single" w:sz="4" w:space="0" w:color="auto"/>
            </w:tcBorders>
            <w:shd w:val="clear" w:color="auto" w:fill="auto"/>
            <w:noWrap/>
            <w:vAlign w:val="center"/>
            <w:hideMark/>
          </w:tcPr>
          <w:p w14:paraId="55F3EF54"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A314010" w14:textId="77777777" w:rsidR="00672721" w:rsidRPr="007F2D4C" w:rsidRDefault="00672721">
            <w:pPr>
              <w:jc w:val="right"/>
              <w:rPr>
                <w:sz w:val="20"/>
                <w:szCs w:val="20"/>
              </w:rPr>
            </w:pPr>
            <w:r w:rsidRPr="007F2D4C">
              <w:rPr>
                <w:sz w:val="20"/>
                <w:szCs w:val="20"/>
              </w:rPr>
              <w:t>750.000.000,00</w:t>
            </w:r>
          </w:p>
        </w:tc>
        <w:tc>
          <w:tcPr>
            <w:tcW w:w="1922" w:type="dxa"/>
            <w:tcBorders>
              <w:top w:val="nil"/>
              <w:left w:val="nil"/>
              <w:bottom w:val="single" w:sz="4" w:space="0" w:color="auto"/>
              <w:right w:val="single" w:sz="4" w:space="0" w:color="auto"/>
            </w:tcBorders>
            <w:shd w:val="clear" w:color="auto" w:fill="auto"/>
            <w:noWrap/>
            <w:vAlign w:val="center"/>
            <w:hideMark/>
          </w:tcPr>
          <w:p w14:paraId="1E73516C" w14:textId="77777777" w:rsidR="00672721" w:rsidRPr="007F2D4C" w:rsidRDefault="00672721">
            <w:pPr>
              <w:jc w:val="right"/>
              <w:rPr>
                <w:sz w:val="20"/>
                <w:szCs w:val="20"/>
              </w:rPr>
            </w:pPr>
            <w:r w:rsidRPr="007F2D4C">
              <w:rPr>
                <w:sz w:val="20"/>
                <w:szCs w:val="20"/>
              </w:rPr>
              <w:t>5.637.877.500,00</w:t>
            </w:r>
          </w:p>
        </w:tc>
      </w:tr>
      <w:tr w:rsidR="00672721" w:rsidRPr="007F2D4C" w14:paraId="2789496C"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5DB75" w14:textId="77777777" w:rsidR="00672721" w:rsidRPr="007F2D4C" w:rsidRDefault="00672721">
            <w:pPr>
              <w:jc w:val="center"/>
              <w:rPr>
                <w:sz w:val="20"/>
                <w:szCs w:val="20"/>
              </w:rPr>
            </w:pPr>
            <w:r w:rsidRPr="007F2D4C">
              <w:rPr>
                <w:sz w:val="20"/>
                <w:szCs w:val="20"/>
              </w:rPr>
              <w:t>8.</w:t>
            </w:r>
          </w:p>
        </w:tc>
        <w:tc>
          <w:tcPr>
            <w:tcW w:w="3849" w:type="dxa"/>
            <w:tcBorders>
              <w:top w:val="nil"/>
              <w:left w:val="nil"/>
              <w:bottom w:val="single" w:sz="4" w:space="0" w:color="auto"/>
              <w:right w:val="single" w:sz="4" w:space="0" w:color="auto"/>
            </w:tcBorders>
            <w:shd w:val="clear" w:color="auto" w:fill="auto"/>
            <w:noWrap/>
            <w:vAlign w:val="center"/>
            <w:hideMark/>
          </w:tcPr>
          <w:p w14:paraId="41E0E4C1" w14:textId="77777777" w:rsidR="00672721" w:rsidRPr="007F2D4C" w:rsidRDefault="00672721">
            <w:pPr>
              <w:rPr>
                <w:sz w:val="20"/>
                <w:szCs w:val="20"/>
              </w:rPr>
            </w:pPr>
            <w:r w:rsidRPr="007F2D4C">
              <w:rPr>
                <w:sz w:val="20"/>
                <w:szCs w:val="20"/>
              </w:rPr>
              <w:t>Euro-EUR obveznice/XIV</w:t>
            </w:r>
          </w:p>
        </w:tc>
        <w:tc>
          <w:tcPr>
            <w:tcW w:w="794" w:type="dxa"/>
            <w:tcBorders>
              <w:top w:val="nil"/>
              <w:left w:val="nil"/>
              <w:bottom w:val="single" w:sz="4" w:space="0" w:color="auto"/>
              <w:right w:val="single" w:sz="4" w:space="0" w:color="auto"/>
            </w:tcBorders>
            <w:shd w:val="clear" w:color="auto" w:fill="auto"/>
            <w:noWrap/>
            <w:vAlign w:val="center"/>
            <w:hideMark/>
          </w:tcPr>
          <w:p w14:paraId="6BB4A45D"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C128557" w14:textId="77777777" w:rsidR="00672721" w:rsidRPr="007F2D4C" w:rsidRDefault="00672721">
            <w:pPr>
              <w:jc w:val="right"/>
              <w:rPr>
                <w:sz w:val="20"/>
                <w:szCs w:val="20"/>
              </w:rPr>
            </w:pPr>
            <w:r w:rsidRPr="007F2D4C">
              <w:rPr>
                <w:sz w:val="20"/>
                <w:szCs w:val="20"/>
              </w:rPr>
              <w:t>1.500.000.000,00</w:t>
            </w:r>
          </w:p>
        </w:tc>
        <w:tc>
          <w:tcPr>
            <w:tcW w:w="1922" w:type="dxa"/>
            <w:tcBorders>
              <w:top w:val="nil"/>
              <w:left w:val="nil"/>
              <w:bottom w:val="single" w:sz="4" w:space="0" w:color="auto"/>
              <w:right w:val="single" w:sz="4" w:space="0" w:color="auto"/>
            </w:tcBorders>
            <w:shd w:val="clear" w:color="auto" w:fill="auto"/>
            <w:noWrap/>
            <w:vAlign w:val="center"/>
            <w:hideMark/>
          </w:tcPr>
          <w:p w14:paraId="3D921054" w14:textId="77777777" w:rsidR="00672721" w:rsidRPr="007F2D4C" w:rsidRDefault="00672721">
            <w:pPr>
              <w:jc w:val="right"/>
              <w:rPr>
                <w:sz w:val="20"/>
                <w:szCs w:val="20"/>
              </w:rPr>
            </w:pPr>
            <w:r w:rsidRPr="007F2D4C">
              <w:rPr>
                <w:sz w:val="20"/>
                <w:szCs w:val="20"/>
              </w:rPr>
              <w:t>11.275.755.000,00</w:t>
            </w:r>
          </w:p>
        </w:tc>
      </w:tr>
      <w:tr w:rsidR="00672721" w:rsidRPr="007F2D4C" w14:paraId="2C9A13D3"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D28515" w14:textId="77777777" w:rsidR="00672721" w:rsidRPr="007F2D4C" w:rsidRDefault="00672721">
            <w:pPr>
              <w:jc w:val="center"/>
              <w:rPr>
                <w:sz w:val="20"/>
                <w:szCs w:val="20"/>
              </w:rPr>
            </w:pPr>
            <w:r w:rsidRPr="007F2D4C">
              <w:rPr>
                <w:sz w:val="20"/>
                <w:szCs w:val="20"/>
              </w:rPr>
              <w:t>9.</w:t>
            </w:r>
          </w:p>
        </w:tc>
        <w:tc>
          <w:tcPr>
            <w:tcW w:w="3849" w:type="dxa"/>
            <w:tcBorders>
              <w:top w:val="nil"/>
              <w:left w:val="nil"/>
              <w:bottom w:val="single" w:sz="4" w:space="0" w:color="auto"/>
              <w:right w:val="single" w:sz="4" w:space="0" w:color="auto"/>
            </w:tcBorders>
            <w:shd w:val="clear" w:color="auto" w:fill="auto"/>
            <w:noWrap/>
            <w:vAlign w:val="center"/>
            <w:hideMark/>
          </w:tcPr>
          <w:p w14:paraId="1F485018" w14:textId="77777777" w:rsidR="00672721" w:rsidRPr="007F2D4C" w:rsidRDefault="00672721">
            <w:pPr>
              <w:rPr>
                <w:sz w:val="20"/>
                <w:szCs w:val="20"/>
              </w:rPr>
            </w:pPr>
            <w:r w:rsidRPr="007F2D4C">
              <w:rPr>
                <w:sz w:val="20"/>
                <w:szCs w:val="20"/>
              </w:rPr>
              <w:t>Euro-EUR obveznice/XV</w:t>
            </w:r>
          </w:p>
        </w:tc>
        <w:tc>
          <w:tcPr>
            <w:tcW w:w="794" w:type="dxa"/>
            <w:tcBorders>
              <w:top w:val="nil"/>
              <w:left w:val="nil"/>
              <w:bottom w:val="single" w:sz="4" w:space="0" w:color="auto"/>
              <w:right w:val="single" w:sz="4" w:space="0" w:color="auto"/>
            </w:tcBorders>
            <w:shd w:val="clear" w:color="auto" w:fill="auto"/>
            <w:noWrap/>
            <w:vAlign w:val="center"/>
            <w:hideMark/>
          </w:tcPr>
          <w:p w14:paraId="34357DEA"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32C41A5" w14:textId="77777777" w:rsidR="00672721" w:rsidRPr="007F2D4C" w:rsidRDefault="00672721">
            <w:pPr>
              <w:jc w:val="right"/>
              <w:rPr>
                <w:sz w:val="20"/>
                <w:szCs w:val="20"/>
              </w:rPr>
            </w:pPr>
            <w:r w:rsidRPr="007F2D4C">
              <w:rPr>
                <w:sz w:val="20"/>
                <w:szCs w:val="20"/>
              </w:rPr>
              <w:t>2.000.000.000,00</w:t>
            </w:r>
          </w:p>
        </w:tc>
        <w:tc>
          <w:tcPr>
            <w:tcW w:w="1922" w:type="dxa"/>
            <w:tcBorders>
              <w:top w:val="nil"/>
              <w:left w:val="nil"/>
              <w:bottom w:val="single" w:sz="4" w:space="0" w:color="auto"/>
              <w:right w:val="single" w:sz="4" w:space="0" w:color="auto"/>
            </w:tcBorders>
            <w:shd w:val="clear" w:color="auto" w:fill="auto"/>
            <w:noWrap/>
            <w:vAlign w:val="center"/>
            <w:hideMark/>
          </w:tcPr>
          <w:p w14:paraId="53DEFCEE" w14:textId="77777777" w:rsidR="00672721" w:rsidRPr="007F2D4C" w:rsidRDefault="00672721">
            <w:pPr>
              <w:jc w:val="right"/>
              <w:rPr>
                <w:sz w:val="20"/>
                <w:szCs w:val="20"/>
              </w:rPr>
            </w:pPr>
            <w:r w:rsidRPr="007F2D4C">
              <w:rPr>
                <w:sz w:val="20"/>
                <w:szCs w:val="20"/>
              </w:rPr>
              <w:t>15.034.340.000,00</w:t>
            </w:r>
          </w:p>
        </w:tc>
      </w:tr>
      <w:tr w:rsidR="00672721" w:rsidRPr="007F2D4C" w14:paraId="7392932B"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75C92" w14:textId="77777777" w:rsidR="00672721" w:rsidRPr="007F2D4C" w:rsidRDefault="00672721">
            <w:pPr>
              <w:jc w:val="center"/>
              <w:rPr>
                <w:sz w:val="20"/>
                <w:szCs w:val="20"/>
              </w:rPr>
            </w:pPr>
            <w:r w:rsidRPr="007F2D4C">
              <w:rPr>
                <w:sz w:val="20"/>
                <w:szCs w:val="20"/>
              </w:rPr>
              <w:t>10.</w:t>
            </w:r>
          </w:p>
        </w:tc>
        <w:tc>
          <w:tcPr>
            <w:tcW w:w="3849" w:type="dxa"/>
            <w:tcBorders>
              <w:top w:val="nil"/>
              <w:left w:val="nil"/>
              <w:bottom w:val="single" w:sz="4" w:space="0" w:color="auto"/>
              <w:right w:val="single" w:sz="4" w:space="0" w:color="auto"/>
            </w:tcBorders>
            <w:shd w:val="clear" w:color="auto" w:fill="auto"/>
            <w:noWrap/>
            <w:vAlign w:val="center"/>
            <w:hideMark/>
          </w:tcPr>
          <w:p w14:paraId="05A71B7E" w14:textId="77777777" w:rsidR="00672721" w:rsidRPr="007F2D4C" w:rsidRDefault="00672721">
            <w:pPr>
              <w:rPr>
                <w:sz w:val="20"/>
                <w:szCs w:val="20"/>
              </w:rPr>
            </w:pPr>
            <w:r w:rsidRPr="007F2D4C">
              <w:rPr>
                <w:sz w:val="20"/>
                <w:szCs w:val="20"/>
              </w:rPr>
              <w:t>Euro-EUR obveznice/XVI</w:t>
            </w:r>
          </w:p>
        </w:tc>
        <w:tc>
          <w:tcPr>
            <w:tcW w:w="794" w:type="dxa"/>
            <w:tcBorders>
              <w:top w:val="nil"/>
              <w:left w:val="nil"/>
              <w:bottom w:val="single" w:sz="4" w:space="0" w:color="auto"/>
              <w:right w:val="single" w:sz="4" w:space="0" w:color="auto"/>
            </w:tcBorders>
            <w:shd w:val="clear" w:color="auto" w:fill="auto"/>
            <w:noWrap/>
            <w:vAlign w:val="center"/>
            <w:hideMark/>
          </w:tcPr>
          <w:p w14:paraId="76D66B11"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1AD65128" w14:textId="77777777" w:rsidR="00672721" w:rsidRPr="007F2D4C" w:rsidRDefault="00672721">
            <w:pPr>
              <w:jc w:val="right"/>
              <w:rPr>
                <w:sz w:val="20"/>
                <w:szCs w:val="20"/>
              </w:rPr>
            </w:pPr>
            <w:r w:rsidRPr="007F2D4C">
              <w:rPr>
                <w:sz w:val="20"/>
                <w:szCs w:val="20"/>
              </w:rPr>
              <w:t>1.000.000.000,00</w:t>
            </w:r>
          </w:p>
        </w:tc>
        <w:tc>
          <w:tcPr>
            <w:tcW w:w="1922" w:type="dxa"/>
            <w:tcBorders>
              <w:top w:val="nil"/>
              <w:left w:val="nil"/>
              <w:bottom w:val="single" w:sz="4" w:space="0" w:color="auto"/>
              <w:right w:val="single" w:sz="4" w:space="0" w:color="auto"/>
            </w:tcBorders>
            <w:shd w:val="clear" w:color="auto" w:fill="auto"/>
            <w:noWrap/>
            <w:vAlign w:val="center"/>
            <w:hideMark/>
          </w:tcPr>
          <w:p w14:paraId="2AF42740" w14:textId="77777777" w:rsidR="00672721" w:rsidRPr="007F2D4C" w:rsidRDefault="00672721">
            <w:pPr>
              <w:jc w:val="right"/>
              <w:rPr>
                <w:sz w:val="20"/>
                <w:szCs w:val="20"/>
              </w:rPr>
            </w:pPr>
            <w:r w:rsidRPr="007F2D4C">
              <w:rPr>
                <w:sz w:val="20"/>
                <w:szCs w:val="20"/>
              </w:rPr>
              <w:t>7.517.170.000,00</w:t>
            </w:r>
          </w:p>
        </w:tc>
      </w:tr>
      <w:tr w:rsidR="00672721" w:rsidRPr="007F2D4C" w14:paraId="2C724F43" w14:textId="77777777" w:rsidTr="00A81FE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4DF6A" w14:textId="77777777" w:rsidR="00672721" w:rsidRPr="007F2D4C" w:rsidRDefault="00672721">
            <w:pPr>
              <w:jc w:val="center"/>
              <w:rPr>
                <w:sz w:val="20"/>
                <w:szCs w:val="20"/>
              </w:rPr>
            </w:pPr>
            <w:r w:rsidRPr="007F2D4C">
              <w:rPr>
                <w:sz w:val="20"/>
                <w:szCs w:val="20"/>
              </w:rPr>
              <w:t>11.</w:t>
            </w:r>
          </w:p>
        </w:tc>
        <w:tc>
          <w:tcPr>
            <w:tcW w:w="3849" w:type="dxa"/>
            <w:tcBorders>
              <w:top w:val="nil"/>
              <w:left w:val="nil"/>
              <w:bottom w:val="single" w:sz="4" w:space="0" w:color="auto"/>
              <w:right w:val="single" w:sz="4" w:space="0" w:color="auto"/>
            </w:tcBorders>
            <w:shd w:val="clear" w:color="auto" w:fill="auto"/>
            <w:noWrap/>
            <w:vAlign w:val="center"/>
            <w:hideMark/>
          </w:tcPr>
          <w:p w14:paraId="769BDD04" w14:textId="77777777" w:rsidR="00672721" w:rsidRPr="007F2D4C" w:rsidRDefault="00672721">
            <w:pPr>
              <w:rPr>
                <w:sz w:val="20"/>
                <w:szCs w:val="20"/>
              </w:rPr>
            </w:pPr>
            <w:r w:rsidRPr="007F2D4C">
              <w:rPr>
                <w:sz w:val="20"/>
                <w:szCs w:val="20"/>
              </w:rPr>
              <w:t>Euro-EUR obveznice/XVII</w:t>
            </w:r>
          </w:p>
        </w:tc>
        <w:tc>
          <w:tcPr>
            <w:tcW w:w="794" w:type="dxa"/>
            <w:tcBorders>
              <w:top w:val="nil"/>
              <w:left w:val="nil"/>
              <w:bottom w:val="single" w:sz="4" w:space="0" w:color="auto"/>
              <w:right w:val="single" w:sz="4" w:space="0" w:color="auto"/>
            </w:tcBorders>
            <w:shd w:val="clear" w:color="auto" w:fill="auto"/>
            <w:noWrap/>
            <w:vAlign w:val="center"/>
            <w:hideMark/>
          </w:tcPr>
          <w:p w14:paraId="547AD7CA" w14:textId="77777777" w:rsidR="00672721" w:rsidRPr="007F2D4C" w:rsidRDefault="00672721">
            <w:pPr>
              <w:jc w:val="center"/>
              <w:rPr>
                <w:sz w:val="20"/>
                <w:szCs w:val="20"/>
              </w:rPr>
            </w:pPr>
            <w:r w:rsidRPr="007F2D4C">
              <w:rPr>
                <w:sz w:val="20"/>
                <w:szCs w:val="20"/>
              </w:rPr>
              <w:t>EUR</w:t>
            </w:r>
          </w:p>
        </w:tc>
        <w:tc>
          <w:tcPr>
            <w:tcW w:w="1912" w:type="dxa"/>
            <w:tcBorders>
              <w:top w:val="nil"/>
              <w:left w:val="nil"/>
              <w:bottom w:val="single" w:sz="4" w:space="0" w:color="auto"/>
              <w:right w:val="single" w:sz="4" w:space="0" w:color="auto"/>
            </w:tcBorders>
            <w:shd w:val="clear" w:color="auto" w:fill="auto"/>
            <w:noWrap/>
            <w:vAlign w:val="center"/>
            <w:hideMark/>
          </w:tcPr>
          <w:p w14:paraId="07B54B9C" w14:textId="77777777" w:rsidR="00672721" w:rsidRPr="007F2D4C" w:rsidRDefault="00672721">
            <w:pPr>
              <w:jc w:val="right"/>
              <w:rPr>
                <w:sz w:val="20"/>
                <w:szCs w:val="20"/>
              </w:rPr>
            </w:pPr>
            <w:r w:rsidRPr="007F2D4C">
              <w:rPr>
                <w:sz w:val="20"/>
                <w:szCs w:val="20"/>
              </w:rPr>
              <w:t>1.000.000.000,00</w:t>
            </w:r>
          </w:p>
        </w:tc>
        <w:tc>
          <w:tcPr>
            <w:tcW w:w="1922" w:type="dxa"/>
            <w:tcBorders>
              <w:top w:val="nil"/>
              <w:left w:val="nil"/>
              <w:bottom w:val="single" w:sz="4" w:space="0" w:color="auto"/>
              <w:right w:val="single" w:sz="4" w:space="0" w:color="auto"/>
            </w:tcBorders>
            <w:shd w:val="clear" w:color="auto" w:fill="auto"/>
            <w:noWrap/>
            <w:vAlign w:val="center"/>
            <w:hideMark/>
          </w:tcPr>
          <w:p w14:paraId="51225060" w14:textId="77777777" w:rsidR="00672721" w:rsidRPr="007F2D4C" w:rsidRDefault="00672721">
            <w:pPr>
              <w:jc w:val="right"/>
              <w:rPr>
                <w:sz w:val="20"/>
                <w:szCs w:val="20"/>
              </w:rPr>
            </w:pPr>
            <w:r w:rsidRPr="007F2D4C">
              <w:rPr>
                <w:sz w:val="20"/>
                <w:szCs w:val="20"/>
              </w:rPr>
              <w:t>7.517.170.000,00</w:t>
            </w:r>
          </w:p>
        </w:tc>
      </w:tr>
      <w:tr w:rsidR="00672721" w:rsidRPr="007F2D4C" w14:paraId="6925BB5E" w14:textId="77777777" w:rsidTr="00A81FEF">
        <w:trPr>
          <w:trHeight w:val="270"/>
        </w:trPr>
        <w:tc>
          <w:tcPr>
            <w:tcW w:w="0" w:type="auto"/>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85795C2" w14:textId="77777777" w:rsidR="00672721" w:rsidRPr="007F2D4C" w:rsidRDefault="00672721">
            <w:pPr>
              <w:jc w:val="center"/>
              <w:rPr>
                <w:sz w:val="20"/>
                <w:szCs w:val="20"/>
              </w:rPr>
            </w:pPr>
            <w:r w:rsidRPr="007F2D4C">
              <w:rPr>
                <w:sz w:val="20"/>
                <w:szCs w:val="20"/>
              </w:rPr>
              <w:t> </w:t>
            </w:r>
          </w:p>
        </w:tc>
        <w:tc>
          <w:tcPr>
            <w:tcW w:w="3849" w:type="dxa"/>
            <w:tcBorders>
              <w:top w:val="double" w:sz="6" w:space="0" w:color="auto"/>
              <w:left w:val="nil"/>
              <w:bottom w:val="double" w:sz="6" w:space="0" w:color="auto"/>
              <w:right w:val="double" w:sz="6" w:space="0" w:color="auto"/>
            </w:tcBorders>
            <w:shd w:val="clear" w:color="auto" w:fill="auto"/>
            <w:noWrap/>
            <w:vAlign w:val="center"/>
            <w:hideMark/>
          </w:tcPr>
          <w:p w14:paraId="1318F3D8" w14:textId="77777777" w:rsidR="00672721" w:rsidRPr="007F2D4C" w:rsidRDefault="00672721">
            <w:pPr>
              <w:rPr>
                <w:b/>
                <w:bCs/>
                <w:sz w:val="20"/>
                <w:szCs w:val="20"/>
              </w:rPr>
            </w:pPr>
            <w:r w:rsidRPr="007F2D4C">
              <w:rPr>
                <w:b/>
                <w:bCs/>
                <w:sz w:val="20"/>
                <w:szCs w:val="20"/>
              </w:rPr>
              <w:t>Ukupno:</w:t>
            </w:r>
          </w:p>
        </w:tc>
        <w:tc>
          <w:tcPr>
            <w:tcW w:w="794" w:type="dxa"/>
            <w:tcBorders>
              <w:top w:val="double" w:sz="6" w:space="0" w:color="auto"/>
              <w:left w:val="nil"/>
              <w:bottom w:val="double" w:sz="6" w:space="0" w:color="auto"/>
              <w:right w:val="double" w:sz="6" w:space="0" w:color="auto"/>
            </w:tcBorders>
            <w:shd w:val="clear" w:color="auto" w:fill="auto"/>
            <w:noWrap/>
            <w:vAlign w:val="center"/>
            <w:hideMark/>
          </w:tcPr>
          <w:p w14:paraId="3F4F5A12" w14:textId="77777777" w:rsidR="00672721" w:rsidRPr="007F2D4C" w:rsidRDefault="00672721">
            <w:pPr>
              <w:jc w:val="center"/>
              <w:rPr>
                <w:b/>
                <w:bCs/>
                <w:sz w:val="20"/>
                <w:szCs w:val="20"/>
              </w:rPr>
            </w:pPr>
            <w:r w:rsidRPr="007F2D4C">
              <w:rPr>
                <w:b/>
                <w:bCs/>
                <w:sz w:val="20"/>
                <w:szCs w:val="20"/>
              </w:rPr>
              <w:t>EUR</w:t>
            </w:r>
          </w:p>
        </w:tc>
        <w:tc>
          <w:tcPr>
            <w:tcW w:w="1912" w:type="dxa"/>
            <w:tcBorders>
              <w:top w:val="double" w:sz="6" w:space="0" w:color="auto"/>
              <w:left w:val="nil"/>
              <w:bottom w:val="double" w:sz="6" w:space="0" w:color="auto"/>
              <w:right w:val="double" w:sz="6" w:space="0" w:color="auto"/>
            </w:tcBorders>
            <w:shd w:val="clear" w:color="auto" w:fill="auto"/>
            <w:noWrap/>
            <w:vAlign w:val="center"/>
            <w:hideMark/>
          </w:tcPr>
          <w:p w14:paraId="623F2BA5" w14:textId="77777777" w:rsidR="00672721" w:rsidRPr="007F2D4C" w:rsidRDefault="00672721">
            <w:pPr>
              <w:jc w:val="right"/>
              <w:rPr>
                <w:b/>
                <w:bCs/>
                <w:sz w:val="20"/>
                <w:szCs w:val="20"/>
              </w:rPr>
            </w:pPr>
            <w:r w:rsidRPr="007F2D4C">
              <w:rPr>
                <w:b/>
                <w:bCs/>
                <w:sz w:val="20"/>
                <w:szCs w:val="20"/>
              </w:rPr>
              <w:t>13.989.663.251,38</w:t>
            </w:r>
          </w:p>
        </w:tc>
        <w:tc>
          <w:tcPr>
            <w:tcW w:w="1922" w:type="dxa"/>
            <w:tcBorders>
              <w:top w:val="double" w:sz="6" w:space="0" w:color="auto"/>
              <w:left w:val="nil"/>
              <w:bottom w:val="double" w:sz="6" w:space="0" w:color="auto"/>
              <w:right w:val="double" w:sz="6" w:space="0" w:color="auto"/>
            </w:tcBorders>
            <w:shd w:val="clear" w:color="auto" w:fill="auto"/>
            <w:noWrap/>
            <w:vAlign w:val="center"/>
            <w:hideMark/>
          </w:tcPr>
          <w:p w14:paraId="2C7A413E" w14:textId="77777777" w:rsidR="00672721" w:rsidRPr="007F2D4C" w:rsidRDefault="00672721">
            <w:pPr>
              <w:jc w:val="right"/>
              <w:rPr>
                <w:b/>
                <w:bCs/>
                <w:sz w:val="20"/>
                <w:szCs w:val="20"/>
              </w:rPr>
            </w:pPr>
            <w:r w:rsidRPr="007F2D4C">
              <w:rPr>
                <w:b/>
                <w:bCs/>
                <w:sz w:val="20"/>
                <w:szCs w:val="20"/>
              </w:rPr>
              <w:t>105.162.676.903,38</w:t>
            </w:r>
          </w:p>
        </w:tc>
      </w:tr>
      <w:tr w:rsidR="00A81FEF" w:rsidRPr="007F2D4C" w14:paraId="229A256B" w14:textId="77777777" w:rsidTr="00422FDD">
        <w:trPr>
          <w:trHeight w:val="270"/>
        </w:trPr>
        <w:tc>
          <w:tcPr>
            <w:tcW w:w="7583"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16866B5C" w14:textId="77777777" w:rsidR="00A81FEF" w:rsidRPr="007F2D4C" w:rsidRDefault="00A81FEF">
            <w:pPr>
              <w:jc w:val="right"/>
              <w:rPr>
                <w:b/>
                <w:bCs/>
                <w:sz w:val="20"/>
                <w:szCs w:val="20"/>
              </w:rPr>
            </w:pPr>
          </w:p>
        </w:tc>
        <w:tc>
          <w:tcPr>
            <w:tcW w:w="1922" w:type="dxa"/>
            <w:tcBorders>
              <w:top w:val="double" w:sz="6" w:space="0" w:color="auto"/>
              <w:left w:val="nil"/>
              <w:bottom w:val="double" w:sz="6" w:space="0" w:color="auto"/>
              <w:right w:val="double" w:sz="6" w:space="0" w:color="auto"/>
            </w:tcBorders>
            <w:shd w:val="clear" w:color="auto" w:fill="auto"/>
            <w:noWrap/>
            <w:vAlign w:val="center"/>
          </w:tcPr>
          <w:p w14:paraId="3DD15441" w14:textId="6D71BE71" w:rsidR="00A81FEF" w:rsidRPr="007F2D4C" w:rsidRDefault="00A81FEF">
            <w:pPr>
              <w:jc w:val="right"/>
              <w:rPr>
                <w:b/>
                <w:bCs/>
                <w:sz w:val="20"/>
                <w:szCs w:val="20"/>
              </w:rPr>
            </w:pPr>
            <w:r w:rsidRPr="00A81FEF">
              <w:rPr>
                <w:b/>
                <w:bCs/>
                <w:sz w:val="20"/>
                <w:szCs w:val="20"/>
              </w:rPr>
              <w:t>105.162.676.903,38</w:t>
            </w:r>
          </w:p>
        </w:tc>
      </w:tr>
    </w:tbl>
    <w:p w14:paraId="276A9D38" w14:textId="0883CC8F" w:rsidR="00672721" w:rsidRPr="00D42A73" w:rsidRDefault="00672721" w:rsidP="00A90942">
      <w:pPr>
        <w:keepNext/>
        <w:jc w:val="both"/>
        <w:rPr>
          <w:b/>
          <w:sz w:val="20"/>
          <w:szCs w:val="20"/>
        </w:rPr>
      </w:pPr>
    </w:p>
    <w:p w14:paraId="3CF00ED8" w14:textId="77777777" w:rsidR="00672721" w:rsidRPr="00D42A73" w:rsidRDefault="00672721" w:rsidP="00672721">
      <w:pPr>
        <w:keepNext/>
        <w:jc w:val="both"/>
      </w:pPr>
      <w:r w:rsidRPr="00D42A73">
        <w:t xml:space="preserve">Republika Hrvatska je u ožujku uspješno realizirala izdanje dvije tranše </w:t>
      </w:r>
      <w:proofErr w:type="spellStart"/>
      <w:r w:rsidRPr="00D42A73">
        <w:t>euroobveznica</w:t>
      </w:r>
      <w:proofErr w:type="spellEnd"/>
      <w:r w:rsidRPr="00D42A73">
        <w:t xml:space="preserve"> na međunarodnom financijskom tržištu i to dvanaestogodišnjih i dvadesetogodišnjih obveznica. Obveznice u iznosu 1 milijarde eura su izdane po cijeni od 98,538% nominalnog iznosa uz nepromjenjivi kamatni kupon od 1,125% godišnje, što čini prinos do dospijeća od 1,257%. Obveznice su uplaćene 4. ožujka 2021., a datum dospijeća obveznica je 4. ožujka 2033. Obveznice u iznosu 1 milijarde eura su izdane po cijeni od 99,366% nominalnog iznosa uz nepromjenjivi kamatni kupon od 1,75% godišnje, što čini prinos do dospijeća od 1,788%. Obveznice su uplaćene 4. ožujka 2021., a datum dospijeća obveznica je 4. ožujka 2041. </w:t>
      </w:r>
    </w:p>
    <w:p w14:paraId="607638BA" w14:textId="77777777" w:rsidR="00672721" w:rsidRPr="00672721" w:rsidRDefault="00672721" w:rsidP="00672721">
      <w:pPr>
        <w:keepNext/>
        <w:jc w:val="both"/>
        <w:rPr>
          <w:highlight w:val="green"/>
        </w:rPr>
      </w:pPr>
    </w:p>
    <w:p w14:paraId="5DD9D0FB" w14:textId="326B239E" w:rsidR="004F729D" w:rsidRPr="003B30B6" w:rsidRDefault="00672721" w:rsidP="00672721">
      <w:pPr>
        <w:keepNext/>
        <w:jc w:val="both"/>
      </w:pPr>
      <w:r w:rsidRPr="00D42A73">
        <w:t xml:space="preserve">Sredstva prikupljena ovim izdanjem iskoristila su se, između ostalog, za refinanciranje </w:t>
      </w:r>
      <w:proofErr w:type="spellStart"/>
      <w:r w:rsidRPr="00D42A73">
        <w:t>eurobveznica</w:t>
      </w:r>
      <w:proofErr w:type="spellEnd"/>
      <w:r w:rsidRPr="00D42A73">
        <w:t xml:space="preserve"> Republike Hrvatske u iznosu od 1,5 milijarde dolara koje su dospjele 24. ožujka 2021. godine. Ova desetogodišnja dolarska obveznica izdana je u ožujku 2011. godine uz nepromjenjivi kamatni kupon 6,375% godišnje. S obzirom na niske kuponske stope ostvarene </w:t>
      </w:r>
      <w:r w:rsidRPr="00D42A73">
        <w:lastRenderedPageBreak/>
        <w:t>novim izdanjima bit će ostvarene značajne uštede u smislu troška kamata od preko 160 milijuna kuna na godišnjoj razini na iznos refinanciranja.</w:t>
      </w:r>
    </w:p>
    <w:p w14:paraId="08330707" w14:textId="77777777" w:rsidR="00237246" w:rsidRPr="003B30B6" w:rsidRDefault="00237246" w:rsidP="00237246">
      <w:pPr>
        <w:jc w:val="both"/>
      </w:pPr>
    </w:p>
    <w:p w14:paraId="28A142DA" w14:textId="57F663CC" w:rsidR="00237246" w:rsidRPr="00C85DCC" w:rsidRDefault="00CF329C" w:rsidP="00237246">
      <w:pPr>
        <w:jc w:val="center"/>
      </w:pPr>
      <w:r w:rsidRPr="00C85DCC">
        <w:rPr>
          <w:bCs/>
          <w:sz w:val="28"/>
          <w:szCs w:val="28"/>
        </w:rPr>
        <w:t>Bilješka 2</w:t>
      </w:r>
      <w:r w:rsidR="004A73A4">
        <w:rPr>
          <w:bCs/>
          <w:sz w:val="28"/>
          <w:szCs w:val="28"/>
        </w:rPr>
        <w:t>3</w:t>
      </w:r>
      <w:r w:rsidR="00187157" w:rsidRPr="00C85DCC">
        <w:rPr>
          <w:bCs/>
          <w:sz w:val="28"/>
          <w:szCs w:val="28"/>
        </w:rPr>
        <w:t>.</w:t>
      </w:r>
    </w:p>
    <w:p w14:paraId="4D8E7E96" w14:textId="2B346727" w:rsidR="00237246" w:rsidRPr="00D42A73" w:rsidRDefault="00317243" w:rsidP="00237246">
      <w:pPr>
        <w:jc w:val="center"/>
      </w:pPr>
      <w:r w:rsidRPr="00D42A73">
        <w:rPr>
          <w:sz w:val="28"/>
          <w:szCs w:val="28"/>
        </w:rPr>
        <w:t>AOP 202</w:t>
      </w:r>
      <w:r w:rsidR="00187157" w:rsidRPr="00D42A73">
        <w:rPr>
          <w:sz w:val="28"/>
          <w:szCs w:val="28"/>
        </w:rPr>
        <w:t xml:space="preserve"> Obveze za kredite od kreditnih institucija u javnom sektoru</w:t>
      </w:r>
    </w:p>
    <w:p w14:paraId="6E9B0EB7" w14:textId="3D36612F" w:rsidR="00187157" w:rsidRPr="00D42A73" w:rsidRDefault="00187157" w:rsidP="00237246">
      <w:r w:rsidRPr="00D42A73">
        <w:t>Analitika obveza za kredite od kreditnih institucij</w:t>
      </w:r>
      <w:r w:rsidR="00CF329C" w:rsidRPr="00D42A73">
        <w:t xml:space="preserve">a u javnom sektoru u iznosu od </w:t>
      </w:r>
      <w:r w:rsidR="00907B1E" w:rsidRPr="00D42A73">
        <w:t>1.997.844.915</w:t>
      </w:r>
      <w:r w:rsidR="00CF329C" w:rsidRPr="00D42A73">
        <w:t xml:space="preserve"> </w:t>
      </w:r>
      <w:r w:rsidR="00907B1E" w:rsidRPr="00D42A73">
        <w:rPr>
          <w:bCs/>
        </w:rPr>
        <w:t>kuna</w:t>
      </w:r>
      <w:r w:rsidR="00C85DCC">
        <w:t xml:space="preserve"> daje se u Tablici 11</w:t>
      </w:r>
      <w:r w:rsidRPr="00D42A73">
        <w:t xml:space="preserve">. </w:t>
      </w:r>
    </w:p>
    <w:p w14:paraId="4D907499" w14:textId="77777777" w:rsidR="00187157" w:rsidRPr="00D42A73" w:rsidRDefault="00187157" w:rsidP="00187157">
      <w:pPr>
        <w:keepNext/>
        <w:jc w:val="both"/>
        <w:rPr>
          <w:b/>
          <w:sz w:val="20"/>
          <w:szCs w:val="20"/>
        </w:rPr>
      </w:pPr>
    </w:p>
    <w:p w14:paraId="7C0E89B0" w14:textId="252185D4" w:rsidR="00907B1E" w:rsidRPr="00D42A73" w:rsidRDefault="004A73A4" w:rsidP="00187157">
      <w:pPr>
        <w:keepNext/>
        <w:jc w:val="both"/>
        <w:rPr>
          <w:b/>
          <w:sz w:val="20"/>
          <w:szCs w:val="20"/>
        </w:rPr>
      </w:pPr>
      <w:r>
        <w:rPr>
          <w:b/>
          <w:sz w:val="20"/>
          <w:szCs w:val="20"/>
        </w:rPr>
        <w:t>Tablica 11</w:t>
      </w:r>
      <w:r w:rsidR="00187157" w:rsidRPr="00D42A73">
        <w:rPr>
          <w:b/>
          <w:sz w:val="20"/>
          <w:szCs w:val="20"/>
        </w:rPr>
        <w:t xml:space="preserve">. </w:t>
      </w:r>
    </w:p>
    <w:tbl>
      <w:tblPr>
        <w:tblW w:w="9493" w:type="dxa"/>
        <w:jc w:val="center"/>
        <w:tblLook w:val="04A0" w:firstRow="1" w:lastRow="0" w:firstColumn="1" w:lastColumn="0" w:noHBand="0" w:noVBand="1"/>
      </w:tblPr>
      <w:tblGrid>
        <w:gridCol w:w="1270"/>
        <w:gridCol w:w="2988"/>
        <w:gridCol w:w="772"/>
        <w:gridCol w:w="794"/>
        <w:gridCol w:w="1933"/>
        <w:gridCol w:w="1736"/>
      </w:tblGrid>
      <w:tr w:rsidR="00E10F3B" w:rsidRPr="007F2D4C" w14:paraId="04413D77" w14:textId="77777777" w:rsidTr="00A81FEF">
        <w:trPr>
          <w:trHeight w:val="799"/>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3C2A" w14:textId="77777777" w:rsidR="00907B1E" w:rsidRPr="007F2D4C" w:rsidRDefault="00907B1E">
            <w:pPr>
              <w:jc w:val="center"/>
              <w:rPr>
                <w:b/>
                <w:bCs/>
                <w:sz w:val="20"/>
                <w:szCs w:val="20"/>
              </w:rPr>
            </w:pPr>
            <w:r w:rsidRPr="007F2D4C">
              <w:rPr>
                <w:b/>
                <w:bCs/>
                <w:sz w:val="20"/>
                <w:szCs w:val="20"/>
              </w:rPr>
              <w:t>Red. broj</w:t>
            </w:r>
          </w:p>
        </w:tc>
        <w:tc>
          <w:tcPr>
            <w:tcW w:w="2988" w:type="dxa"/>
            <w:tcBorders>
              <w:top w:val="single" w:sz="4" w:space="0" w:color="auto"/>
              <w:left w:val="nil"/>
              <w:bottom w:val="single" w:sz="4" w:space="0" w:color="auto"/>
              <w:right w:val="single" w:sz="4" w:space="0" w:color="auto"/>
            </w:tcBorders>
            <w:shd w:val="clear" w:color="auto" w:fill="auto"/>
            <w:noWrap/>
            <w:vAlign w:val="center"/>
            <w:hideMark/>
          </w:tcPr>
          <w:p w14:paraId="7FBB0553" w14:textId="77777777" w:rsidR="00907B1E" w:rsidRPr="007F2D4C" w:rsidRDefault="00907B1E">
            <w:pPr>
              <w:jc w:val="center"/>
              <w:rPr>
                <w:b/>
                <w:bCs/>
                <w:sz w:val="20"/>
                <w:szCs w:val="20"/>
              </w:rPr>
            </w:pPr>
            <w:r w:rsidRPr="007F2D4C">
              <w:rPr>
                <w:b/>
                <w:bCs/>
                <w:sz w:val="20"/>
                <w:szCs w:val="20"/>
              </w:rPr>
              <w:t>Namjena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4C83AE9" w14:textId="77777777" w:rsidR="00907B1E" w:rsidRPr="007F2D4C" w:rsidRDefault="00907B1E">
            <w:pPr>
              <w:jc w:val="center"/>
              <w:rPr>
                <w:b/>
                <w:bCs/>
                <w:sz w:val="20"/>
                <w:szCs w:val="20"/>
              </w:rPr>
            </w:pPr>
            <w:r w:rsidRPr="007F2D4C">
              <w:rPr>
                <w:b/>
                <w:bCs/>
                <w:sz w:val="20"/>
                <w:szCs w:val="20"/>
              </w:rPr>
              <w:t>Banka</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088DCED" w14:textId="77777777" w:rsidR="00907B1E" w:rsidRPr="007F2D4C" w:rsidRDefault="00907B1E">
            <w:pPr>
              <w:jc w:val="center"/>
              <w:rPr>
                <w:b/>
                <w:bCs/>
                <w:sz w:val="20"/>
                <w:szCs w:val="20"/>
              </w:rPr>
            </w:pPr>
            <w:r w:rsidRPr="007F2D4C">
              <w:rPr>
                <w:b/>
                <w:bCs/>
                <w:sz w:val="20"/>
                <w:szCs w:val="20"/>
              </w:rPr>
              <w:t>Valuta</w:t>
            </w:r>
          </w:p>
        </w:tc>
        <w:tc>
          <w:tcPr>
            <w:tcW w:w="1933" w:type="dxa"/>
            <w:tcBorders>
              <w:top w:val="single" w:sz="4" w:space="0" w:color="auto"/>
              <w:left w:val="nil"/>
              <w:bottom w:val="nil"/>
              <w:right w:val="single" w:sz="4" w:space="0" w:color="auto"/>
            </w:tcBorders>
            <w:shd w:val="clear" w:color="auto" w:fill="auto"/>
            <w:vAlign w:val="center"/>
            <w:hideMark/>
          </w:tcPr>
          <w:p w14:paraId="2D905999" w14:textId="77777777" w:rsidR="00907B1E" w:rsidRPr="007F2D4C" w:rsidRDefault="00907B1E">
            <w:pPr>
              <w:jc w:val="center"/>
              <w:rPr>
                <w:b/>
                <w:bCs/>
                <w:sz w:val="20"/>
                <w:szCs w:val="20"/>
              </w:rPr>
            </w:pPr>
            <w:r w:rsidRPr="007F2D4C">
              <w:rPr>
                <w:b/>
                <w:bCs/>
                <w:sz w:val="20"/>
                <w:szCs w:val="20"/>
              </w:rPr>
              <w:t>Stanje obveza na dan 31.12.2021. (</w:t>
            </w:r>
            <w:proofErr w:type="spellStart"/>
            <w:r w:rsidRPr="007F2D4C">
              <w:rPr>
                <w:b/>
                <w:bCs/>
                <w:sz w:val="20"/>
                <w:szCs w:val="20"/>
              </w:rPr>
              <w:t>org.val</w:t>
            </w:r>
            <w:proofErr w:type="spellEnd"/>
            <w:r w:rsidRPr="007F2D4C">
              <w:rPr>
                <w:b/>
                <w:bCs/>
                <w:sz w:val="20"/>
                <w:szCs w:val="20"/>
              </w:rPr>
              <w:t>.)</w:t>
            </w:r>
          </w:p>
        </w:tc>
        <w:tc>
          <w:tcPr>
            <w:tcW w:w="1736" w:type="dxa"/>
            <w:tcBorders>
              <w:top w:val="single" w:sz="4" w:space="0" w:color="auto"/>
              <w:left w:val="nil"/>
              <w:bottom w:val="nil"/>
              <w:right w:val="single" w:sz="4" w:space="0" w:color="auto"/>
            </w:tcBorders>
            <w:shd w:val="clear" w:color="auto" w:fill="auto"/>
            <w:vAlign w:val="center"/>
            <w:hideMark/>
          </w:tcPr>
          <w:p w14:paraId="15CA12D5" w14:textId="77777777" w:rsidR="00907B1E" w:rsidRPr="007F2D4C" w:rsidRDefault="00907B1E">
            <w:pPr>
              <w:jc w:val="center"/>
              <w:rPr>
                <w:b/>
                <w:bCs/>
                <w:sz w:val="20"/>
                <w:szCs w:val="20"/>
              </w:rPr>
            </w:pPr>
            <w:r w:rsidRPr="007F2D4C">
              <w:rPr>
                <w:b/>
                <w:bCs/>
                <w:sz w:val="20"/>
                <w:szCs w:val="20"/>
              </w:rPr>
              <w:t>Stanje obveza na 31.12.2021. u kunama</w:t>
            </w:r>
          </w:p>
        </w:tc>
      </w:tr>
      <w:tr w:rsidR="00E10F3B" w:rsidRPr="007F2D4C" w14:paraId="260A54B3" w14:textId="77777777" w:rsidTr="00A81FEF">
        <w:trPr>
          <w:trHeight w:val="270"/>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5DFA7AA" w14:textId="77777777" w:rsidR="00907B1E" w:rsidRPr="007F2D4C" w:rsidRDefault="00907B1E">
            <w:pPr>
              <w:jc w:val="center"/>
              <w:rPr>
                <w:sz w:val="20"/>
                <w:szCs w:val="20"/>
              </w:rPr>
            </w:pPr>
            <w:r w:rsidRPr="007F2D4C">
              <w:rPr>
                <w:sz w:val="20"/>
                <w:szCs w:val="20"/>
              </w:rPr>
              <w:t>1.</w:t>
            </w:r>
          </w:p>
        </w:tc>
        <w:tc>
          <w:tcPr>
            <w:tcW w:w="2988" w:type="dxa"/>
            <w:tcBorders>
              <w:top w:val="nil"/>
              <w:left w:val="nil"/>
              <w:bottom w:val="single" w:sz="4" w:space="0" w:color="auto"/>
              <w:right w:val="single" w:sz="4" w:space="0" w:color="auto"/>
            </w:tcBorders>
            <w:shd w:val="clear" w:color="auto" w:fill="auto"/>
            <w:noWrap/>
            <w:vAlign w:val="center"/>
            <w:hideMark/>
          </w:tcPr>
          <w:p w14:paraId="00300FC2" w14:textId="77777777" w:rsidR="00907B1E" w:rsidRPr="007F2D4C" w:rsidRDefault="00907B1E">
            <w:pPr>
              <w:rPr>
                <w:sz w:val="20"/>
                <w:szCs w:val="20"/>
              </w:rPr>
            </w:pPr>
            <w:r w:rsidRPr="007F2D4C">
              <w:rPr>
                <w:sz w:val="20"/>
                <w:szCs w:val="20"/>
              </w:rPr>
              <w:t>Hrvatske vode KO-09/12 - projekt navodnjavanja</w:t>
            </w:r>
          </w:p>
        </w:tc>
        <w:tc>
          <w:tcPr>
            <w:tcW w:w="772" w:type="dxa"/>
            <w:tcBorders>
              <w:top w:val="nil"/>
              <w:left w:val="nil"/>
              <w:bottom w:val="single" w:sz="4" w:space="0" w:color="auto"/>
              <w:right w:val="single" w:sz="4" w:space="0" w:color="auto"/>
            </w:tcBorders>
            <w:shd w:val="clear" w:color="auto" w:fill="auto"/>
            <w:noWrap/>
            <w:vAlign w:val="center"/>
            <w:hideMark/>
          </w:tcPr>
          <w:p w14:paraId="4ED947A3" w14:textId="77777777" w:rsidR="00907B1E" w:rsidRPr="007F2D4C" w:rsidRDefault="00907B1E">
            <w:pPr>
              <w:jc w:val="center"/>
              <w:rPr>
                <w:sz w:val="20"/>
                <w:szCs w:val="20"/>
              </w:rPr>
            </w:pPr>
            <w:r w:rsidRPr="007F2D4C">
              <w:rPr>
                <w:sz w:val="20"/>
                <w:szCs w:val="20"/>
              </w:rPr>
              <w:t>HBOR</w:t>
            </w:r>
          </w:p>
        </w:tc>
        <w:tc>
          <w:tcPr>
            <w:tcW w:w="794" w:type="dxa"/>
            <w:tcBorders>
              <w:top w:val="nil"/>
              <w:left w:val="nil"/>
              <w:bottom w:val="single" w:sz="4" w:space="0" w:color="auto"/>
              <w:right w:val="single" w:sz="4" w:space="0" w:color="auto"/>
            </w:tcBorders>
            <w:shd w:val="clear" w:color="auto" w:fill="auto"/>
            <w:noWrap/>
            <w:vAlign w:val="center"/>
            <w:hideMark/>
          </w:tcPr>
          <w:p w14:paraId="009E20F8" w14:textId="77777777" w:rsidR="00907B1E" w:rsidRPr="007F2D4C" w:rsidRDefault="00907B1E">
            <w:pPr>
              <w:jc w:val="center"/>
              <w:rPr>
                <w:sz w:val="20"/>
                <w:szCs w:val="20"/>
              </w:rPr>
            </w:pPr>
            <w:r w:rsidRPr="007F2D4C">
              <w:rPr>
                <w:sz w:val="20"/>
                <w:szCs w:val="20"/>
              </w:rPr>
              <w:t>HRK</w:t>
            </w:r>
          </w:p>
        </w:tc>
        <w:tc>
          <w:tcPr>
            <w:tcW w:w="1933" w:type="dxa"/>
            <w:tcBorders>
              <w:top w:val="single" w:sz="4" w:space="0" w:color="auto"/>
              <w:left w:val="nil"/>
              <w:bottom w:val="single" w:sz="4" w:space="0" w:color="auto"/>
              <w:right w:val="single" w:sz="4" w:space="0" w:color="auto"/>
            </w:tcBorders>
            <w:shd w:val="clear" w:color="auto" w:fill="auto"/>
            <w:noWrap/>
            <w:vAlign w:val="center"/>
            <w:hideMark/>
          </w:tcPr>
          <w:p w14:paraId="4D638968" w14:textId="77777777" w:rsidR="00907B1E" w:rsidRPr="007F2D4C" w:rsidRDefault="00907B1E">
            <w:pPr>
              <w:jc w:val="right"/>
              <w:rPr>
                <w:sz w:val="20"/>
                <w:szCs w:val="20"/>
              </w:rPr>
            </w:pPr>
            <w:r w:rsidRPr="007F2D4C">
              <w:rPr>
                <w:sz w:val="20"/>
                <w:szCs w:val="20"/>
              </w:rPr>
              <w:t>45.500.000,00</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14:paraId="7E9B4746" w14:textId="77777777" w:rsidR="00907B1E" w:rsidRPr="007F2D4C" w:rsidRDefault="00907B1E">
            <w:pPr>
              <w:jc w:val="right"/>
              <w:rPr>
                <w:sz w:val="20"/>
                <w:szCs w:val="20"/>
              </w:rPr>
            </w:pPr>
            <w:r w:rsidRPr="007F2D4C">
              <w:rPr>
                <w:sz w:val="20"/>
                <w:szCs w:val="20"/>
              </w:rPr>
              <w:t>45.500.000,00</w:t>
            </w:r>
          </w:p>
        </w:tc>
      </w:tr>
      <w:tr w:rsidR="00E10F3B" w:rsidRPr="007F2D4C" w14:paraId="49880E45" w14:textId="77777777" w:rsidTr="00A81FEF">
        <w:trPr>
          <w:trHeight w:val="270"/>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5600BB3" w14:textId="77777777" w:rsidR="00907B1E" w:rsidRPr="007F2D4C" w:rsidRDefault="00907B1E">
            <w:pPr>
              <w:jc w:val="center"/>
              <w:rPr>
                <w:sz w:val="20"/>
                <w:szCs w:val="20"/>
              </w:rPr>
            </w:pPr>
            <w:r w:rsidRPr="007F2D4C">
              <w:rPr>
                <w:sz w:val="20"/>
                <w:szCs w:val="20"/>
              </w:rPr>
              <w:t>2.</w:t>
            </w:r>
          </w:p>
        </w:tc>
        <w:tc>
          <w:tcPr>
            <w:tcW w:w="2988" w:type="dxa"/>
            <w:tcBorders>
              <w:top w:val="nil"/>
              <w:left w:val="nil"/>
              <w:bottom w:val="nil"/>
              <w:right w:val="single" w:sz="4" w:space="0" w:color="auto"/>
            </w:tcBorders>
            <w:shd w:val="clear" w:color="auto" w:fill="auto"/>
            <w:noWrap/>
            <w:vAlign w:val="center"/>
            <w:hideMark/>
          </w:tcPr>
          <w:p w14:paraId="00ADC678" w14:textId="77777777" w:rsidR="00907B1E" w:rsidRPr="007F2D4C" w:rsidRDefault="00907B1E">
            <w:pPr>
              <w:rPr>
                <w:sz w:val="20"/>
                <w:szCs w:val="20"/>
              </w:rPr>
            </w:pPr>
            <w:r w:rsidRPr="007F2D4C">
              <w:rPr>
                <w:sz w:val="20"/>
                <w:szCs w:val="20"/>
              </w:rPr>
              <w:t>HŽ Putnički prijevoz F-001-14 preuzeto 2015.</w:t>
            </w:r>
          </w:p>
        </w:tc>
        <w:tc>
          <w:tcPr>
            <w:tcW w:w="772" w:type="dxa"/>
            <w:tcBorders>
              <w:top w:val="nil"/>
              <w:left w:val="nil"/>
              <w:bottom w:val="nil"/>
              <w:right w:val="single" w:sz="4" w:space="0" w:color="auto"/>
            </w:tcBorders>
            <w:shd w:val="clear" w:color="auto" w:fill="auto"/>
            <w:noWrap/>
            <w:vAlign w:val="center"/>
            <w:hideMark/>
          </w:tcPr>
          <w:p w14:paraId="25A3A790" w14:textId="77777777" w:rsidR="00907B1E" w:rsidRPr="007F2D4C" w:rsidRDefault="00907B1E">
            <w:pPr>
              <w:jc w:val="center"/>
              <w:rPr>
                <w:sz w:val="20"/>
                <w:szCs w:val="20"/>
              </w:rPr>
            </w:pPr>
            <w:r w:rsidRPr="007F2D4C">
              <w:rPr>
                <w:sz w:val="20"/>
                <w:szCs w:val="20"/>
              </w:rPr>
              <w:t>HBOR</w:t>
            </w:r>
          </w:p>
        </w:tc>
        <w:tc>
          <w:tcPr>
            <w:tcW w:w="794" w:type="dxa"/>
            <w:tcBorders>
              <w:top w:val="nil"/>
              <w:left w:val="nil"/>
              <w:bottom w:val="nil"/>
              <w:right w:val="single" w:sz="4" w:space="0" w:color="auto"/>
            </w:tcBorders>
            <w:shd w:val="clear" w:color="auto" w:fill="auto"/>
            <w:noWrap/>
            <w:vAlign w:val="center"/>
            <w:hideMark/>
          </w:tcPr>
          <w:p w14:paraId="125FFB1C" w14:textId="77777777" w:rsidR="00907B1E" w:rsidRPr="007F2D4C" w:rsidRDefault="00907B1E">
            <w:pPr>
              <w:jc w:val="center"/>
              <w:rPr>
                <w:sz w:val="20"/>
                <w:szCs w:val="20"/>
              </w:rPr>
            </w:pPr>
            <w:r w:rsidRPr="007F2D4C">
              <w:rPr>
                <w:sz w:val="20"/>
                <w:szCs w:val="20"/>
              </w:rPr>
              <w:t>EUR</w:t>
            </w:r>
          </w:p>
        </w:tc>
        <w:tc>
          <w:tcPr>
            <w:tcW w:w="1933" w:type="dxa"/>
            <w:tcBorders>
              <w:top w:val="nil"/>
              <w:left w:val="nil"/>
              <w:bottom w:val="nil"/>
              <w:right w:val="single" w:sz="4" w:space="0" w:color="auto"/>
            </w:tcBorders>
            <w:shd w:val="clear" w:color="auto" w:fill="auto"/>
            <w:noWrap/>
            <w:vAlign w:val="center"/>
            <w:hideMark/>
          </w:tcPr>
          <w:p w14:paraId="07311E34" w14:textId="77777777" w:rsidR="00907B1E" w:rsidRPr="007F2D4C" w:rsidRDefault="00907B1E">
            <w:pPr>
              <w:jc w:val="right"/>
              <w:rPr>
                <w:sz w:val="20"/>
                <w:szCs w:val="20"/>
              </w:rPr>
            </w:pPr>
            <w:r w:rsidRPr="007F2D4C">
              <w:rPr>
                <w:sz w:val="20"/>
                <w:szCs w:val="20"/>
              </w:rPr>
              <w:t>57.514.319,27</w:t>
            </w:r>
          </w:p>
        </w:tc>
        <w:tc>
          <w:tcPr>
            <w:tcW w:w="1736" w:type="dxa"/>
            <w:tcBorders>
              <w:top w:val="nil"/>
              <w:left w:val="nil"/>
              <w:bottom w:val="single" w:sz="4" w:space="0" w:color="auto"/>
              <w:right w:val="single" w:sz="4" w:space="0" w:color="auto"/>
            </w:tcBorders>
            <w:shd w:val="clear" w:color="auto" w:fill="auto"/>
            <w:noWrap/>
            <w:vAlign w:val="center"/>
            <w:hideMark/>
          </w:tcPr>
          <w:p w14:paraId="0260757E" w14:textId="77777777" w:rsidR="00907B1E" w:rsidRPr="007F2D4C" w:rsidRDefault="00907B1E">
            <w:pPr>
              <w:jc w:val="right"/>
              <w:rPr>
                <w:sz w:val="20"/>
                <w:szCs w:val="20"/>
              </w:rPr>
            </w:pPr>
            <w:r w:rsidRPr="007F2D4C">
              <w:rPr>
                <w:sz w:val="20"/>
                <w:szCs w:val="20"/>
              </w:rPr>
              <w:t>432.344.915,39</w:t>
            </w:r>
          </w:p>
        </w:tc>
      </w:tr>
      <w:tr w:rsidR="00E10F3B" w:rsidRPr="007F2D4C" w14:paraId="75616B2B" w14:textId="77777777" w:rsidTr="00A81FEF">
        <w:trPr>
          <w:trHeight w:val="270"/>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39844B4" w14:textId="77777777" w:rsidR="00907B1E" w:rsidRPr="007F2D4C" w:rsidRDefault="00907B1E">
            <w:pPr>
              <w:jc w:val="center"/>
              <w:rPr>
                <w:sz w:val="20"/>
                <w:szCs w:val="20"/>
              </w:rPr>
            </w:pPr>
            <w:r w:rsidRPr="007F2D4C">
              <w:rPr>
                <w:sz w:val="20"/>
                <w:szCs w:val="20"/>
              </w:rPr>
              <w:t>3.</w:t>
            </w:r>
          </w:p>
        </w:tc>
        <w:tc>
          <w:tcPr>
            <w:tcW w:w="2988" w:type="dxa"/>
            <w:tcBorders>
              <w:top w:val="single" w:sz="4" w:space="0" w:color="auto"/>
              <w:left w:val="nil"/>
              <w:bottom w:val="nil"/>
              <w:right w:val="single" w:sz="4" w:space="0" w:color="auto"/>
            </w:tcBorders>
            <w:shd w:val="clear" w:color="auto" w:fill="auto"/>
            <w:noWrap/>
            <w:vAlign w:val="center"/>
            <w:hideMark/>
          </w:tcPr>
          <w:p w14:paraId="03904EBD" w14:textId="77777777" w:rsidR="00907B1E" w:rsidRPr="007F2D4C" w:rsidRDefault="00907B1E">
            <w:pPr>
              <w:rPr>
                <w:sz w:val="20"/>
                <w:szCs w:val="20"/>
              </w:rPr>
            </w:pPr>
            <w:r w:rsidRPr="007F2D4C">
              <w:rPr>
                <w:sz w:val="20"/>
                <w:szCs w:val="20"/>
              </w:rPr>
              <w:t xml:space="preserve">HPB HRK 950 </w:t>
            </w:r>
            <w:proofErr w:type="spellStart"/>
            <w:r w:rsidRPr="007F2D4C">
              <w:rPr>
                <w:sz w:val="20"/>
                <w:szCs w:val="20"/>
              </w:rPr>
              <w:t>mil</w:t>
            </w:r>
            <w:proofErr w:type="spellEnd"/>
            <w:r w:rsidRPr="007F2D4C">
              <w:rPr>
                <w:sz w:val="20"/>
                <w:szCs w:val="20"/>
              </w:rPr>
              <w:t>. 2017</w:t>
            </w:r>
          </w:p>
        </w:tc>
        <w:tc>
          <w:tcPr>
            <w:tcW w:w="772" w:type="dxa"/>
            <w:tcBorders>
              <w:top w:val="single" w:sz="4" w:space="0" w:color="auto"/>
              <w:left w:val="nil"/>
              <w:bottom w:val="nil"/>
              <w:right w:val="single" w:sz="4" w:space="0" w:color="auto"/>
            </w:tcBorders>
            <w:shd w:val="clear" w:color="auto" w:fill="auto"/>
            <w:noWrap/>
            <w:vAlign w:val="center"/>
            <w:hideMark/>
          </w:tcPr>
          <w:p w14:paraId="5229559E" w14:textId="77777777" w:rsidR="00907B1E" w:rsidRPr="007F2D4C" w:rsidRDefault="00907B1E">
            <w:pPr>
              <w:jc w:val="center"/>
              <w:rPr>
                <w:sz w:val="20"/>
                <w:szCs w:val="20"/>
              </w:rPr>
            </w:pPr>
            <w:r w:rsidRPr="007F2D4C">
              <w:rPr>
                <w:sz w:val="20"/>
                <w:szCs w:val="20"/>
              </w:rPr>
              <w:t>HPB</w:t>
            </w:r>
          </w:p>
        </w:tc>
        <w:tc>
          <w:tcPr>
            <w:tcW w:w="794" w:type="dxa"/>
            <w:tcBorders>
              <w:top w:val="single" w:sz="4" w:space="0" w:color="auto"/>
              <w:left w:val="nil"/>
              <w:bottom w:val="nil"/>
              <w:right w:val="single" w:sz="4" w:space="0" w:color="auto"/>
            </w:tcBorders>
            <w:shd w:val="clear" w:color="auto" w:fill="auto"/>
            <w:noWrap/>
            <w:vAlign w:val="center"/>
            <w:hideMark/>
          </w:tcPr>
          <w:p w14:paraId="16C667A4" w14:textId="77777777" w:rsidR="00907B1E" w:rsidRPr="007F2D4C" w:rsidRDefault="00907B1E">
            <w:pPr>
              <w:jc w:val="center"/>
              <w:rPr>
                <w:sz w:val="20"/>
                <w:szCs w:val="20"/>
              </w:rPr>
            </w:pPr>
            <w:r w:rsidRPr="007F2D4C">
              <w:rPr>
                <w:sz w:val="20"/>
                <w:szCs w:val="20"/>
              </w:rPr>
              <w:t>HRK</w:t>
            </w:r>
          </w:p>
        </w:tc>
        <w:tc>
          <w:tcPr>
            <w:tcW w:w="1933" w:type="dxa"/>
            <w:tcBorders>
              <w:top w:val="single" w:sz="4" w:space="0" w:color="auto"/>
              <w:left w:val="nil"/>
              <w:bottom w:val="single" w:sz="4" w:space="0" w:color="auto"/>
              <w:right w:val="single" w:sz="4" w:space="0" w:color="auto"/>
            </w:tcBorders>
            <w:shd w:val="clear" w:color="auto" w:fill="auto"/>
            <w:noWrap/>
            <w:vAlign w:val="center"/>
            <w:hideMark/>
          </w:tcPr>
          <w:p w14:paraId="5482BEDE" w14:textId="77777777" w:rsidR="00907B1E" w:rsidRPr="007F2D4C" w:rsidRDefault="00907B1E">
            <w:pPr>
              <w:jc w:val="right"/>
              <w:rPr>
                <w:sz w:val="20"/>
                <w:szCs w:val="20"/>
              </w:rPr>
            </w:pPr>
            <w:r w:rsidRPr="007F2D4C">
              <w:rPr>
                <w:sz w:val="20"/>
                <w:szCs w:val="20"/>
              </w:rPr>
              <w:t>620.000.000,00</w:t>
            </w:r>
          </w:p>
        </w:tc>
        <w:tc>
          <w:tcPr>
            <w:tcW w:w="1736" w:type="dxa"/>
            <w:tcBorders>
              <w:top w:val="nil"/>
              <w:left w:val="nil"/>
              <w:bottom w:val="single" w:sz="4" w:space="0" w:color="auto"/>
              <w:right w:val="single" w:sz="4" w:space="0" w:color="auto"/>
            </w:tcBorders>
            <w:shd w:val="clear" w:color="auto" w:fill="auto"/>
            <w:noWrap/>
            <w:vAlign w:val="center"/>
            <w:hideMark/>
          </w:tcPr>
          <w:p w14:paraId="36E11EA5" w14:textId="77777777" w:rsidR="00907B1E" w:rsidRPr="007F2D4C" w:rsidRDefault="00907B1E">
            <w:pPr>
              <w:jc w:val="right"/>
              <w:rPr>
                <w:sz w:val="20"/>
                <w:szCs w:val="20"/>
              </w:rPr>
            </w:pPr>
            <w:r w:rsidRPr="007F2D4C">
              <w:rPr>
                <w:sz w:val="20"/>
                <w:szCs w:val="20"/>
              </w:rPr>
              <w:t>620.000.000,00</w:t>
            </w:r>
          </w:p>
        </w:tc>
      </w:tr>
      <w:tr w:rsidR="00E10F3B" w:rsidRPr="007F2D4C" w14:paraId="16F96DB7" w14:textId="77777777" w:rsidTr="00A81FEF">
        <w:trPr>
          <w:trHeight w:val="270"/>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559388C" w14:textId="77777777" w:rsidR="00907B1E" w:rsidRPr="007F2D4C" w:rsidRDefault="00907B1E">
            <w:pPr>
              <w:jc w:val="center"/>
              <w:rPr>
                <w:sz w:val="20"/>
                <w:szCs w:val="20"/>
              </w:rPr>
            </w:pPr>
            <w:r w:rsidRPr="007F2D4C">
              <w:rPr>
                <w:sz w:val="20"/>
                <w:szCs w:val="20"/>
              </w:rPr>
              <w:t>4.</w:t>
            </w:r>
          </w:p>
        </w:tc>
        <w:tc>
          <w:tcPr>
            <w:tcW w:w="2988" w:type="dxa"/>
            <w:tcBorders>
              <w:top w:val="single" w:sz="4" w:space="0" w:color="auto"/>
              <w:left w:val="nil"/>
              <w:bottom w:val="single" w:sz="4" w:space="0" w:color="auto"/>
              <w:right w:val="single" w:sz="4" w:space="0" w:color="auto"/>
            </w:tcBorders>
            <w:shd w:val="clear" w:color="auto" w:fill="auto"/>
            <w:noWrap/>
            <w:vAlign w:val="center"/>
            <w:hideMark/>
          </w:tcPr>
          <w:p w14:paraId="3ADB2A4D" w14:textId="77777777" w:rsidR="00907B1E" w:rsidRPr="007F2D4C" w:rsidRDefault="00907B1E">
            <w:pPr>
              <w:rPr>
                <w:sz w:val="20"/>
                <w:szCs w:val="20"/>
              </w:rPr>
            </w:pPr>
            <w:r w:rsidRPr="007F2D4C">
              <w:rPr>
                <w:sz w:val="20"/>
                <w:szCs w:val="20"/>
              </w:rPr>
              <w:t xml:space="preserve">HPB HRK 400 </w:t>
            </w:r>
            <w:proofErr w:type="spellStart"/>
            <w:r w:rsidRPr="007F2D4C">
              <w:rPr>
                <w:sz w:val="20"/>
                <w:szCs w:val="20"/>
              </w:rPr>
              <w:t>mil</w:t>
            </w:r>
            <w:proofErr w:type="spellEnd"/>
            <w:r w:rsidRPr="007F2D4C">
              <w:rPr>
                <w:sz w:val="20"/>
                <w:szCs w:val="20"/>
              </w:rPr>
              <w:t>. D-2024</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04F2A4D7" w14:textId="77777777" w:rsidR="00907B1E" w:rsidRPr="007F2D4C" w:rsidRDefault="00907B1E">
            <w:pPr>
              <w:jc w:val="center"/>
              <w:rPr>
                <w:sz w:val="20"/>
                <w:szCs w:val="20"/>
              </w:rPr>
            </w:pPr>
            <w:r w:rsidRPr="007F2D4C">
              <w:rPr>
                <w:sz w:val="20"/>
                <w:szCs w:val="20"/>
              </w:rPr>
              <w:t>HPB</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6BAA8FEA" w14:textId="77777777" w:rsidR="00907B1E" w:rsidRPr="007F2D4C" w:rsidRDefault="00907B1E">
            <w:pPr>
              <w:jc w:val="center"/>
              <w:rPr>
                <w:sz w:val="20"/>
                <w:szCs w:val="20"/>
              </w:rPr>
            </w:pPr>
            <w:r w:rsidRPr="007F2D4C">
              <w:rPr>
                <w:sz w:val="20"/>
                <w:szCs w:val="20"/>
              </w:rPr>
              <w:t>HRK</w:t>
            </w:r>
          </w:p>
        </w:tc>
        <w:tc>
          <w:tcPr>
            <w:tcW w:w="1933" w:type="dxa"/>
            <w:tcBorders>
              <w:top w:val="nil"/>
              <w:left w:val="nil"/>
              <w:bottom w:val="single" w:sz="4" w:space="0" w:color="auto"/>
              <w:right w:val="single" w:sz="4" w:space="0" w:color="auto"/>
            </w:tcBorders>
            <w:shd w:val="clear" w:color="auto" w:fill="auto"/>
            <w:noWrap/>
            <w:vAlign w:val="center"/>
            <w:hideMark/>
          </w:tcPr>
          <w:p w14:paraId="095FEC9D" w14:textId="77777777" w:rsidR="00907B1E" w:rsidRPr="007F2D4C" w:rsidRDefault="00907B1E">
            <w:pPr>
              <w:jc w:val="right"/>
              <w:rPr>
                <w:sz w:val="20"/>
                <w:szCs w:val="20"/>
              </w:rPr>
            </w:pPr>
            <w:r w:rsidRPr="007F2D4C">
              <w:rPr>
                <w:sz w:val="20"/>
                <w:szCs w:val="20"/>
              </w:rPr>
              <w:t>400.000.000,00</w:t>
            </w:r>
          </w:p>
        </w:tc>
        <w:tc>
          <w:tcPr>
            <w:tcW w:w="1736" w:type="dxa"/>
            <w:tcBorders>
              <w:top w:val="nil"/>
              <w:left w:val="nil"/>
              <w:bottom w:val="nil"/>
              <w:right w:val="single" w:sz="4" w:space="0" w:color="auto"/>
            </w:tcBorders>
            <w:shd w:val="clear" w:color="auto" w:fill="auto"/>
            <w:noWrap/>
            <w:vAlign w:val="center"/>
            <w:hideMark/>
          </w:tcPr>
          <w:p w14:paraId="4004E607" w14:textId="77777777" w:rsidR="00907B1E" w:rsidRPr="007F2D4C" w:rsidRDefault="00907B1E">
            <w:pPr>
              <w:jc w:val="right"/>
              <w:rPr>
                <w:sz w:val="20"/>
                <w:szCs w:val="20"/>
              </w:rPr>
            </w:pPr>
            <w:r w:rsidRPr="007F2D4C">
              <w:rPr>
                <w:sz w:val="20"/>
                <w:szCs w:val="20"/>
              </w:rPr>
              <w:t>400.000.000,00</w:t>
            </w:r>
          </w:p>
        </w:tc>
      </w:tr>
      <w:tr w:rsidR="00E10F3B" w:rsidRPr="007F2D4C" w14:paraId="052A297F" w14:textId="77777777" w:rsidTr="00A81FEF">
        <w:trPr>
          <w:trHeight w:val="270"/>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9F2D0C8" w14:textId="77777777" w:rsidR="00907B1E" w:rsidRPr="007F2D4C" w:rsidRDefault="00907B1E">
            <w:pPr>
              <w:jc w:val="center"/>
              <w:rPr>
                <w:sz w:val="20"/>
                <w:szCs w:val="20"/>
              </w:rPr>
            </w:pPr>
            <w:r w:rsidRPr="007F2D4C">
              <w:rPr>
                <w:sz w:val="20"/>
                <w:szCs w:val="20"/>
              </w:rPr>
              <w:t>5.</w:t>
            </w:r>
          </w:p>
        </w:tc>
        <w:tc>
          <w:tcPr>
            <w:tcW w:w="2988" w:type="dxa"/>
            <w:tcBorders>
              <w:top w:val="nil"/>
              <w:left w:val="nil"/>
              <w:bottom w:val="double" w:sz="6" w:space="0" w:color="auto"/>
              <w:right w:val="single" w:sz="4" w:space="0" w:color="auto"/>
            </w:tcBorders>
            <w:shd w:val="clear" w:color="auto" w:fill="auto"/>
            <w:noWrap/>
            <w:vAlign w:val="center"/>
            <w:hideMark/>
          </w:tcPr>
          <w:p w14:paraId="7340778C" w14:textId="77777777" w:rsidR="00907B1E" w:rsidRPr="007F2D4C" w:rsidRDefault="00907B1E">
            <w:pPr>
              <w:rPr>
                <w:sz w:val="20"/>
                <w:szCs w:val="20"/>
              </w:rPr>
            </w:pPr>
            <w:r w:rsidRPr="007F2D4C">
              <w:rPr>
                <w:sz w:val="20"/>
                <w:szCs w:val="20"/>
              </w:rPr>
              <w:t xml:space="preserve">HPB HRK 500 </w:t>
            </w:r>
            <w:proofErr w:type="spellStart"/>
            <w:r w:rsidRPr="007F2D4C">
              <w:rPr>
                <w:sz w:val="20"/>
                <w:szCs w:val="20"/>
              </w:rPr>
              <w:t>mil</w:t>
            </w:r>
            <w:proofErr w:type="spellEnd"/>
            <w:r w:rsidRPr="007F2D4C">
              <w:rPr>
                <w:sz w:val="20"/>
                <w:szCs w:val="20"/>
              </w:rPr>
              <w:t>. D-2025</w:t>
            </w:r>
          </w:p>
        </w:tc>
        <w:tc>
          <w:tcPr>
            <w:tcW w:w="772" w:type="dxa"/>
            <w:tcBorders>
              <w:top w:val="nil"/>
              <w:left w:val="nil"/>
              <w:bottom w:val="double" w:sz="6" w:space="0" w:color="auto"/>
              <w:right w:val="single" w:sz="4" w:space="0" w:color="auto"/>
            </w:tcBorders>
            <w:shd w:val="clear" w:color="auto" w:fill="auto"/>
            <w:noWrap/>
            <w:vAlign w:val="center"/>
            <w:hideMark/>
          </w:tcPr>
          <w:p w14:paraId="0B372F79" w14:textId="77777777" w:rsidR="00907B1E" w:rsidRPr="007F2D4C" w:rsidRDefault="00907B1E">
            <w:pPr>
              <w:jc w:val="center"/>
              <w:rPr>
                <w:sz w:val="20"/>
                <w:szCs w:val="20"/>
              </w:rPr>
            </w:pPr>
            <w:r w:rsidRPr="007F2D4C">
              <w:rPr>
                <w:sz w:val="20"/>
                <w:szCs w:val="20"/>
              </w:rPr>
              <w:t>HPB</w:t>
            </w:r>
          </w:p>
        </w:tc>
        <w:tc>
          <w:tcPr>
            <w:tcW w:w="794" w:type="dxa"/>
            <w:tcBorders>
              <w:top w:val="nil"/>
              <w:left w:val="nil"/>
              <w:bottom w:val="nil"/>
              <w:right w:val="single" w:sz="4" w:space="0" w:color="auto"/>
            </w:tcBorders>
            <w:shd w:val="clear" w:color="auto" w:fill="auto"/>
            <w:noWrap/>
            <w:vAlign w:val="center"/>
            <w:hideMark/>
          </w:tcPr>
          <w:p w14:paraId="5F24E0F0" w14:textId="77777777" w:rsidR="00907B1E" w:rsidRPr="007F2D4C" w:rsidRDefault="00907B1E">
            <w:pPr>
              <w:jc w:val="center"/>
              <w:rPr>
                <w:sz w:val="20"/>
                <w:szCs w:val="20"/>
              </w:rPr>
            </w:pPr>
            <w:r w:rsidRPr="007F2D4C">
              <w:rPr>
                <w:sz w:val="20"/>
                <w:szCs w:val="20"/>
              </w:rPr>
              <w:t>HRK</w:t>
            </w:r>
          </w:p>
        </w:tc>
        <w:tc>
          <w:tcPr>
            <w:tcW w:w="1933" w:type="dxa"/>
            <w:tcBorders>
              <w:top w:val="nil"/>
              <w:left w:val="nil"/>
              <w:bottom w:val="double" w:sz="6" w:space="0" w:color="auto"/>
              <w:right w:val="single" w:sz="4" w:space="0" w:color="auto"/>
            </w:tcBorders>
            <w:shd w:val="clear" w:color="auto" w:fill="auto"/>
            <w:noWrap/>
            <w:vAlign w:val="center"/>
            <w:hideMark/>
          </w:tcPr>
          <w:p w14:paraId="24D648EE" w14:textId="77777777" w:rsidR="00907B1E" w:rsidRPr="007F2D4C" w:rsidRDefault="00907B1E">
            <w:pPr>
              <w:jc w:val="right"/>
              <w:rPr>
                <w:sz w:val="20"/>
                <w:szCs w:val="20"/>
              </w:rPr>
            </w:pPr>
            <w:r w:rsidRPr="007F2D4C">
              <w:rPr>
                <w:sz w:val="20"/>
                <w:szCs w:val="20"/>
              </w:rPr>
              <w:t>500.000.000,00</w:t>
            </w:r>
          </w:p>
        </w:tc>
        <w:tc>
          <w:tcPr>
            <w:tcW w:w="1736" w:type="dxa"/>
            <w:tcBorders>
              <w:top w:val="single" w:sz="4" w:space="0" w:color="auto"/>
              <w:left w:val="nil"/>
              <w:bottom w:val="double" w:sz="6" w:space="0" w:color="auto"/>
              <w:right w:val="single" w:sz="4" w:space="0" w:color="auto"/>
            </w:tcBorders>
            <w:shd w:val="clear" w:color="auto" w:fill="auto"/>
            <w:noWrap/>
            <w:vAlign w:val="center"/>
            <w:hideMark/>
          </w:tcPr>
          <w:p w14:paraId="4BB8A1F6" w14:textId="77777777" w:rsidR="00907B1E" w:rsidRPr="007F2D4C" w:rsidRDefault="00907B1E">
            <w:pPr>
              <w:jc w:val="right"/>
              <w:rPr>
                <w:sz w:val="20"/>
                <w:szCs w:val="20"/>
              </w:rPr>
            </w:pPr>
            <w:r w:rsidRPr="007F2D4C">
              <w:rPr>
                <w:sz w:val="20"/>
                <w:szCs w:val="20"/>
              </w:rPr>
              <w:t>500.000.000,00</w:t>
            </w:r>
          </w:p>
        </w:tc>
      </w:tr>
      <w:tr w:rsidR="00E10F3B" w:rsidRPr="007F2D4C" w14:paraId="798D88F3" w14:textId="77777777" w:rsidTr="00A81FEF">
        <w:trPr>
          <w:trHeight w:val="270"/>
          <w:jc w:val="center"/>
        </w:trPr>
        <w:tc>
          <w:tcPr>
            <w:tcW w:w="127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D86996B" w14:textId="77777777" w:rsidR="00907B1E" w:rsidRPr="007F2D4C" w:rsidRDefault="00907B1E">
            <w:pPr>
              <w:jc w:val="center"/>
              <w:rPr>
                <w:b/>
                <w:bCs/>
                <w:sz w:val="20"/>
                <w:szCs w:val="20"/>
              </w:rPr>
            </w:pPr>
            <w:r w:rsidRPr="007F2D4C">
              <w:rPr>
                <w:b/>
                <w:bCs/>
                <w:sz w:val="20"/>
                <w:szCs w:val="20"/>
              </w:rPr>
              <w:t>UKUPNO</w:t>
            </w:r>
          </w:p>
        </w:tc>
        <w:tc>
          <w:tcPr>
            <w:tcW w:w="2988" w:type="dxa"/>
            <w:tcBorders>
              <w:top w:val="nil"/>
              <w:left w:val="nil"/>
              <w:bottom w:val="double" w:sz="6" w:space="0" w:color="auto"/>
              <w:right w:val="double" w:sz="6" w:space="0" w:color="auto"/>
            </w:tcBorders>
            <w:shd w:val="clear" w:color="auto" w:fill="auto"/>
            <w:noWrap/>
            <w:vAlign w:val="center"/>
            <w:hideMark/>
          </w:tcPr>
          <w:p w14:paraId="6FB8851F" w14:textId="77777777" w:rsidR="00907B1E" w:rsidRPr="007F2D4C" w:rsidRDefault="00907B1E">
            <w:pPr>
              <w:rPr>
                <w:sz w:val="20"/>
                <w:szCs w:val="20"/>
              </w:rPr>
            </w:pPr>
            <w:r w:rsidRPr="007F2D4C">
              <w:rPr>
                <w:sz w:val="20"/>
                <w:szCs w:val="20"/>
              </w:rPr>
              <w:t> </w:t>
            </w:r>
          </w:p>
        </w:tc>
        <w:tc>
          <w:tcPr>
            <w:tcW w:w="772" w:type="dxa"/>
            <w:tcBorders>
              <w:top w:val="nil"/>
              <w:left w:val="nil"/>
              <w:bottom w:val="double" w:sz="6" w:space="0" w:color="auto"/>
              <w:right w:val="double" w:sz="6" w:space="0" w:color="auto"/>
            </w:tcBorders>
            <w:shd w:val="clear" w:color="auto" w:fill="auto"/>
            <w:noWrap/>
            <w:vAlign w:val="center"/>
            <w:hideMark/>
          </w:tcPr>
          <w:p w14:paraId="14D7DBA5" w14:textId="77777777" w:rsidR="00907B1E" w:rsidRPr="007F2D4C" w:rsidRDefault="00907B1E">
            <w:pPr>
              <w:jc w:val="center"/>
              <w:rPr>
                <w:sz w:val="20"/>
                <w:szCs w:val="20"/>
              </w:rPr>
            </w:pPr>
            <w:r w:rsidRPr="007F2D4C">
              <w:rPr>
                <w:sz w:val="20"/>
                <w:szCs w:val="20"/>
              </w:rPr>
              <w:t> </w:t>
            </w:r>
          </w:p>
        </w:tc>
        <w:tc>
          <w:tcPr>
            <w:tcW w:w="794" w:type="dxa"/>
            <w:tcBorders>
              <w:top w:val="double" w:sz="6" w:space="0" w:color="auto"/>
              <w:left w:val="nil"/>
              <w:bottom w:val="double" w:sz="6" w:space="0" w:color="auto"/>
              <w:right w:val="double" w:sz="6" w:space="0" w:color="auto"/>
            </w:tcBorders>
            <w:shd w:val="clear" w:color="auto" w:fill="auto"/>
            <w:noWrap/>
            <w:vAlign w:val="center"/>
            <w:hideMark/>
          </w:tcPr>
          <w:p w14:paraId="3811F347" w14:textId="77777777" w:rsidR="00907B1E" w:rsidRPr="007F2D4C" w:rsidRDefault="00907B1E">
            <w:pPr>
              <w:jc w:val="center"/>
              <w:rPr>
                <w:b/>
                <w:bCs/>
                <w:sz w:val="20"/>
                <w:szCs w:val="20"/>
              </w:rPr>
            </w:pPr>
            <w:r w:rsidRPr="007F2D4C">
              <w:rPr>
                <w:b/>
                <w:bCs/>
                <w:sz w:val="20"/>
                <w:szCs w:val="20"/>
              </w:rPr>
              <w:t>EUR</w:t>
            </w:r>
          </w:p>
        </w:tc>
        <w:tc>
          <w:tcPr>
            <w:tcW w:w="1933" w:type="dxa"/>
            <w:tcBorders>
              <w:top w:val="nil"/>
              <w:left w:val="nil"/>
              <w:bottom w:val="double" w:sz="6" w:space="0" w:color="auto"/>
              <w:right w:val="double" w:sz="6" w:space="0" w:color="auto"/>
            </w:tcBorders>
            <w:shd w:val="clear" w:color="auto" w:fill="auto"/>
            <w:noWrap/>
            <w:vAlign w:val="center"/>
            <w:hideMark/>
          </w:tcPr>
          <w:p w14:paraId="23AEB653" w14:textId="77777777" w:rsidR="00907B1E" w:rsidRPr="007F2D4C" w:rsidRDefault="00907B1E">
            <w:pPr>
              <w:jc w:val="right"/>
              <w:rPr>
                <w:b/>
                <w:bCs/>
                <w:sz w:val="20"/>
                <w:szCs w:val="20"/>
              </w:rPr>
            </w:pPr>
            <w:r w:rsidRPr="007F2D4C">
              <w:rPr>
                <w:b/>
                <w:bCs/>
                <w:sz w:val="20"/>
                <w:szCs w:val="20"/>
              </w:rPr>
              <w:t>57.514.319,27</w:t>
            </w:r>
          </w:p>
        </w:tc>
        <w:tc>
          <w:tcPr>
            <w:tcW w:w="1736" w:type="dxa"/>
            <w:tcBorders>
              <w:top w:val="nil"/>
              <w:left w:val="nil"/>
              <w:bottom w:val="double" w:sz="6" w:space="0" w:color="auto"/>
              <w:right w:val="double" w:sz="6" w:space="0" w:color="auto"/>
            </w:tcBorders>
            <w:shd w:val="clear" w:color="auto" w:fill="auto"/>
            <w:noWrap/>
            <w:vAlign w:val="center"/>
            <w:hideMark/>
          </w:tcPr>
          <w:p w14:paraId="0095453B" w14:textId="77777777" w:rsidR="00907B1E" w:rsidRPr="007F2D4C" w:rsidRDefault="00907B1E">
            <w:pPr>
              <w:jc w:val="right"/>
              <w:rPr>
                <w:b/>
                <w:bCs/>
                <w:sz w:val="20"/>
                <w:szCs w:val="20"/>
              </w:rPr>
            </w:pPr>
            <w:r w:rsidRPr="007F2D4C">
              <w:rPr>
                <w:b/>
                <w:bCs/>
                <w:sz w:val="20"/>
                <w:szCs w:val="20"/>
              </w:rPr>
              <w:t>432.344.915,39</w:t>
            </w:r>
          </w:p>
        </w:tc>
      </w:tr>
      <w:tr w:rsidR="00E10F3B" w:rsidRPr="007F2D4C" w14:paraId="72977B8B" w14:textId="77777777" w:rsidTr="00A81FEF">
        <w:trPr>
          <w:trHeight w:val="270"/>
          <w:jc w:val="center"/>
        </w:trPr>
        <w:tc>
          <w:tcPr>
            <w:tcW w:w="1270" w:type="dxa"/>
            <w:tcBorders>
              <w:top w:val="nil"/>
              <w:left w:val="double" w:sz="6" w:space="0" w:color="auto"/>
              <w:bottom w:val="double" w:sz="6" w:space="0" w:color="auto"/>
              <w:right w:val="double" w:sz="6" w:space="0" w:color="auto"/>
            </w:tcBorders>
            <w:shd w:val="clear" w:color="auto" w:fill="auto"/>
            <w:noWrap/>
            <w:vAlign w:val="center"/>
            <w:hideMark/>
          </w:tcPr>
          <w:p w14:paraId="45CBCC09" w14:textId="77777777" w:rsidR="00907B1E" w:rsidRPr="007F2D4C" w:rsidRDefault="00907B1E">
            <w:pPr>
              <w:jc w:val="center"/>
              <w:rPr>
                <w:b/>
                <w:bCs/>
                <w:sz w:val="20"/>
                <w:szCs w:val="20"/>
              </w:rPr>
            </w:pPr>
            <w:r w:rsidRPr="007F2D4C">
              <w:rPr>
                <w:b/>
                <w:bCs/>
                <w:sz w:val="20"/>
                <w:szCs w:val="20"/>
              </w:rPr>
              <w:t>UKUPNO</w:t>
            </w:r>
          </w:p>
        </w:tc>
        <w:tc>
          <w:tcPr>
            <w:tcW w:w="2988" w:type="dxa"/>
            <w:tcBorders>
              <w:top w:val="nil"/>
              <w:left w:val="nil"/>
              <w:bottom w:val="double" w:sz="6" w:space="0" w:color="auto"/>
              <w:right w:val="double" w:sz="6" w:space="0" w:color="auto"/>
            </w:tcBorders>
            <w:shd w:val="clear" w:color="auto" w:fill="auto"/>
            <w:noWrap/>
            <w:vAlign w:val="center"/>
            <w:hideMark/>
          </w:tcPr>
          <w:p w14:paraId="365F6118" w14:textId="77777777" w:rsidR="00907B1E" w:rsidRPr="007F2D4C" w:rsidRDefault="00907B1E">
            <w:pPr>
              <w:rPr>
                <w:sz w:val="20"/>
                <w:szCs w:val="20"/>
              </w:rPr>
            </w:pPr>
            <w:r w:rsidRPr="007F2D4C">
              <w:rPr>
                <w:sz w:val="20"/>
                <w:szCs w:val="20"/>
              </w:rPr>
              <w:t> </w:t>
            </w:r>
          </w:p>
        </w:tc>
        <w:tc>
          <w:tcPr>
            <w:tcW w:w="772" w:type="dxa"/>
            <w:tcBorders>
              <w:top w:val="nil"/>
              <w:left w:val="nil"/>
              <w:bottom w:val="double" w:sz="6" w:space="0" w:color="auto"/>
              <w:right w:val="double" w:sz="6" w:space="0" w:color="auto"/>
            </w:tcBorders>
            <w:shd w:val="clear" w:color="auto" w:fill="auto"/>
            <w:noWrap/>
            <w:vAlign w:val="center"/>
            <w:hideMark/>
          </w:tcPr>
          <w:p w14:paraId="041C97CF" w14:textId="77777777" w:rsidR="00907B1E" w:rsidRPr="007F2D4C" w:rsidRDefault="00907B1E">
            <w:pPr>
              <w:jc w:val="center"/>
              <w:rPr>
                <w:sz w:val="20"/>
                <w:szCs w:val="20"/>
              </w:rPr>
            </w:pPr>
            <w:r w:rsidRPr="007F2D4C">
              <w:rPr>
                <w:sz w:val="20"/>
                <w:szCs w:val="20"/>
              </w:rPr>
              <w:t> </w:t>
            </w:r>
          </w:p>
        </w:tc>
        <w:tc>
          <w:tcPr>
            <w:tcW w:w="794" w:type="dxa"/>
            <w:tcBorders>
              <w:top w:val="nil"/>
              <w:left w:val="nil"/>
              <w:bottom w:val="double" w:sz="6" w:space="0" w:color="auto"/>
              <w:right w:val="double" w:sz="6" w:space="0" w:color="auto"/>
            </w:tcBorders>
            <w:shd w:val="clear" w:color="auto" w:fill="auto"/>
            <w:noWrap/>
            <w:vAlign w:val="center"/>
            <w:hideMark/>
          </w:tcPr>
          <w:p w14:paraId="57F89B9E" w14:textId="77777777" w:rsidR="00907B1E" w:rsidRPr="007F2D4C" w:rsidRDefault="00907B1E">
            <w:pPr>
              <w:jc w:val="center"/>
              <w:rPr>
                <w:b/>
                <w:bCs/>
                <w:sz w:val="20"/>
                <w:szCs w:val="20"/>
              </w:rPr>
            </w:pPr>
            <w:r w:rsidRPr="007F2D4C">
              <w:rPr>
                <w:b/>
                <w:bCs/>
                <w:sz w:val="20"/>
                <w:szCs w:val="20"/>
              </w:rPr>
              <w:t>HRK</w:t>
            </w:r>
          </w:p>
        </w:tc>
        <w:tc>
          <w:tcPr>
            <w:tcW w:w="1933" w:type="dxa"/>
            <w:tcBorders>
              <w:top w:val="nil"/>
              <w:left w:val="nil"/>
              <w:bottom w:val="double" w:sz="6" w:space="0" w:color="auto"/>
              <w:right w:val="double" w:sz="6" w:space="0" w:color="auto"/>
            </w:tcBorders>
            <w:shd w:val="clear" w:color="auto" w:fill="auto"/>
            <w:noWrap/>
            <w:vAlign w:val="center"/>
            <w:hideMark/>
          </w:tcPr>
          <w:p w14:paraId="7776D7CF" w14:textId="77777777" w:rsidR="00907B1E" w:rsidRPr="007F2D4C" w:rsidRDefault="00907B1E">
            <w:pPr>
              <w:jc w:val="right"/>
              <w:rPr>
                <w:b/>
                <w:bCs/>
                <w:sz w:val="20"/>
                <w:szCs w:val="20"/>
              </w:rPr>
            </w:pPr>
            <w:r w:rsidRPr="007F2D4C">
              <w:rPr>
                <w:b/>
                <w:bCs/>
                <w:sz w:val="20"/>
                <w:szCs w:val="20"/>
              </w:rPr>
              <w:t>1.565.500.000,00</w:t>
            </w:r>
          </w:p>
        </w:tc>
        <w:tc>
          <w:tcPr>
            <w:tcW w:w="1736" w:type="dxa"/>
            <w:tcBorders>
              <w:top w:val="nil"/>
              <w:left w:val="nil"/>
              <w:bottom w:val="double" w:sz="6" w:space="0" w:color="auto"/>
              <w:right w:val="double" w:sz="6" w:space="0" w:color="auto"/>
            </w:tcBorders>
            <w:shd w:val="clear" w:color="auto" w:fill="auto"/>
            <w:noWrap/>
            <w:vAlign w:val="center"/>
            <w:hideMark/>
          </w:tcPr>
          <w:p w14:paraId="2542111E" w14:textId="77777777" w:rsidR="00907B1E" w:rsidRPr="007F2D4C" w:rsidRDefault="00907B1E">
            <w:pPr>
              <w:jc w:val="right"/>
              <w:rPr>
                <w:b/>
                <w:bCs/>
                <w:sz w:val="20"/>
                <w:szCs w:val="20"/>
              </w:rPr>
            </w:pPr>
            <w:r w:rsidRPr="007F2D4C">
              <w:rPr>
                <w:b/>
                <w:bCs/>
                <w:sz w:val="20"/>
                <w:szCs w:val="20"/>
              </w:rPr>
              <w:t>1.565.500.000,00</w:t>
            </w:r>
          </w:p>
        </w:tc>
      </w:tr>
      <w:tr w:rsidR="00A81FEF" w:rsidRPr="007F2D4C" w14:paraId="73AE78BA" w14:textId="77777777" w:rsidTr="00422FDD">
        <w:trPr>
          <w:trHeight w:val="270"/>
          <w:jc w:val="center"/>
        </w:trPr>
        <w:tc>
          <w:tcPr>
            <w:tcW w:w="7757" w:type="dxa"/>
            <w:gridSpan w:val="5"/>
            <w:tcBorders>
              <w:top w:val="nil"/>
              <w:left w:val="double" w:sz="6" w:space="0" w:color="auto"/>
              <w:bottom w:val="double" w:sz="6" w:space="0" w:color="auto"/>
              <w:right w:val="double" w:sz="6" w:space="0" w:color="auto"/>
            </w:tcBorders>
            <w:shd w:val="clear" w:color="auto" w:fill="auto"/>
            <w:noWrap/>
            <w:vAlign w:val="center"/>
          </w:tcPr>
          <w:p w14:paraId="7C2D7C9C" w14:textId="77777777" w:rsidR="00A81FEF" w:rsidRPr="007F2D4C" w:rsidRDefault="00A81FEF">
            <w:pPr>
              <w:jc w:val="right"/>
              <w:rPr>
                <w:b/>
                <w:bCs/>
                <w:sz w:val="20"/>
                <w:szCs w:val="20"/>
              </w:rPr>
            </w:pPr>
          </w:p>
        </w:tc>
        <w:tc>
          <w:tcPr>
            <w:tcW w:w="1736" w:type="dxa"/>
            <w:tcBorders>
              <w:top w:val="nil"/>
              <w:left w:val="nil"/>
              <w:bottom w:val="double" w:sz="6" w:space="0" w:color="auto"/>
              <w:right w:val="double" w:sz="6" w:space="0" w:color="auto"/>
            </w:tcBorders>
            <w:shd w:val="clear" w:color="auto" w:fill="auto"/>
            <w:noWrap/>
            <w:vAlign w:val="center"/>
          </w:tcPr>
          <w:p w14:paraId="78125E09" w14:textId="25F6A540" w:rsidR="00A81FEF" w:rsidRPr="007F2D4C" w:rsidRDefault="00A81FEF">
            <w:pPr>
              <w:jc w:val="right"/>
              <w:rPr>
                <w:b/>
                <w:bCs/>
                <w:sz w:val="20"/>
                <w:szCs w:val="20"/>
              </w:rPr>
            </w:pPr>
            <w:r w:rsidRPr="00A81FEF">
              <w:rPr>
                <w:b/>
                <w:bCs/>
                <w:sz w:val="20"/>
                <w:szCs w:val="20"/>
              </w:rPr>
              <w:t>1.997.844.915,39</w:t>
            </w:r>
          </w:p>
        </w:tc>
      </w:tr>
    </w:tbl>
    <w:p w14:paraId="28D0CEA5" w14:textId="77777777" w:rsidR="00907B1E" w:rsidRDefault="00907B1E" w:rsidP="00187157">
      <w:pPr>
        <w:keepNext/>
        <w:jc w:val="center"/>
        <w:rPr>
          <w:bCs/>
        </w:rPr>
      </w:pPr>
    </w:p>
    <w:p w14:paraId="6A90D8A7" w14:textId="650D2B27" w:rsidR="00187157" w:rsidRPr="00C85DCC" w:rsidRDefault="004A73A4" w:rsidP="00187157">
      <w:pPr>
        <w:keepNext/>
        <w:jc w:val="center"/>
        <w:rPr>
          <w:bCs/>
          <w:sz w:val="28"/>
          <w:szCs w:val="28"/>
        </w:rPr>
      </w:pPr>
      <w:r>
        <w:rPr>
          <w:bCs/>
          <w:sz w:val="28"/>
          <w:szCs w:val="28"/>
        </w:rPr>
        <w:t>Bilješka 24</w:t>
      </w:r>
      <w:r w:rsidR="00187157" w:rsidRPr="00C85DCC">
        <w:rPr>
          <w:bCs/>
          <w:sz w:val="28"/>
          <w:szCs w:val="28"/>
        </w:rPr>
        <w:t>.</w:t>
      </w:r>
    </w:p>
    <w:p w14:paraId="51D47FFE" w14:textId="3884094D" w:rsidR="00187157" w:rsidRPr="00D42A73" w:rsidRDefault="007F29AC" w:rsidP="00187157">
      <w:pPr>
        <w:jc w:val="center"/>
        <w:rPr>
          <w:bCs/>
          <w:sz w:val="28"/>
          <w:szCs w:val="28"/>
        </w:rPr>
      </w:pPr>
      <w:r w:rsidRPr="00D42A73">
        <w:rPr>
          <w:bCs/>
          <w:sz w:val="28"/>
          <w:szCs w:val="28"/>
        </w:rPr>
        <w:t>AOP 204</w:t>
      </w:r>
      <w:r w:rsidR="00187157" w:rsidRPr="00D42A73">
        <w:rPr>
          <w:bCs/>
          <w:sz w:val="28"/>
          <w:szCs w:val="28"/>
        </w:rPr>
        <w:t xml:space="preserve"> Obveze za zajmove od ostalih financijskih institucija u javnom sektoru</w:t>
      </w:r>
      <w:r w:rsidRPr="00D42A73">
        <w:rPr>
          <w:bCs/>
          <w:sz w:val="28"/>
          <w:szCs w:val="28"/>
        </w:rPr>
        <w:t xml:space="preserve"> i AOP 208 Obveze za zajmove od ostalih tuzemnih financijskih institucija izvan javnog sektora</w:t>
      </w:r>
    </w:p>
    <w:p w14:paraId="1D3DE114" w14:textId="0B0F4D68" w:rsidR="00753B6B" w:rsidRDefault="007E5923" w:rsidP="00753B6B">
      <w:pPr>
        <w:jc w:val="both"/>
        <w:rPr>
          <w:bCs/>
          <w:szCs w:val="28"/>
        </w:rPr>
      </w:pPr>
      <w:r>
        <w:rPr>
          <w:bCs/>
          <w:szCs w:val="28"/>
        </w:rPr>
        <w:t>N</w:t>
      </w:r>
      <w:r w:rsidRPr="00D42A73">
        <w:rPr>
          <w:bCs/>
          <w:szCs w:val="28"/>
        </w:rPr>
        <w:t xml:space="preserve">a </w:t>
      </w:r>
      <w:r w:rsidRPr="007E5923">
        <w:rPr>
          <w:bCs/>
          <w:szCs w:val="28"/>
        </w:rPr>
        <w:t xml:space="preserve">AOP-u 204 </w:t>
      </w:r>
      <w:r w:rsidR="00753B6B">
        <w:rPr>
          <w:bCs/>
          <w:szCs w:val="28"/>
        </w:rPr>
        <w:t xml:space="preserve">na </w:t>
      </w:r>
      <w:r w:rsidRPr="00D42A73">
        <w:rPr>
          <w:bCs/>
          <w:szCs w:val="28"/>
        </w:rPr>
        <w:t>dan 1. siječnja 2021.</w:t>
      </w:r>
      <w:r>
        <w:rPr>
          <w:bCs/>
          <w:szCs w:val="28"/>
        </w:rPr>
        <w:t xml:space="preserve"> iskazano je stanje u i</w:t>
      </w:r>
      <w:r w:rsidR="00187157" w:rsidRPr="00D42A73">
        <w:rPr>
          <w:bCs/>
          <w:szCs w:val="28"/>
        </w:rPr>
        <w:t>znos</w:t>
      </w:r>
      <w:r>
        <w:rPr>
          <w:bCs/>
          <w:szCs w:val="28"/>
        </w:rPr>
        <w:t>u</w:t>
      </w:r>
      <w:r w:rsidR="00187157" w:rsidRPr="00D42A73">
        <w:rPr>
          <w:bCs/>
          <w:szCs w:val="28"/>
        </w:rPr>
        <w:t xml:space="preserve"> od </w:t>
      </w:r>
      <w:r w:rsidR="00C13895" w:rsidRPr="00D42A73">
        <w:rPr>
          <w:bCs/>
          <w:szCs w:val="28"/>
        </w:rPr>
        <w:t>342.471.139</w:t>
      </w:r>
      <w:r w:rsidR="00187157" w:rsidRPr="00D42A73">
        <w:rPr>
          <w:bCs/>
          <w:szCs w:val="28"/>
        </w:rPr>
        <w:t xml:space="preserve"> </w:t>
      </w:r>
      <w:r w:rsidR="00FE019C" w:rsidRPr="00D42A73">
        <w:rPr>
          <w:bCs/>
        </w:rPr>
        <w:t>kuna</w:t>
      </w:r>
      <w:r w:rsidR="00753B6B">
        <w:rPr>
          <w:bCs/>
          <w:szCs w:val="28"/>
        </w:rPr>
        <w:t>, a koje je u</w:t>
      </w:r>
      <w:r w:rsidR="00753B6B" w:rsidRPr="007E5923">
        <w:rPr>
          <w:bCs/>
          <w:szCs w:val="28"/>
        </w:rPr>
        <w:t xml:space="preserve"> 2021. godini </w:t>
      </w:r>
      <w:r w:rsidR="00753B6B">
        <w:rPr>
          <w:bCs/>
          <w:szCs w:val="28"/>
        </w:rPr>
        <w:t xml:space="preserve">preneseno </w:t>
      </w:r>
      <w:r w:rsidR="00753B6B" w:rsidRPr="007E5923">
        <w:rPr>
          <w:bCs/>
          <w:szCs w:val="28"/>
        </w:rPr>
        <w:t xml:space="preserve">na AOP 208  </w:t>
      </w:r>
      <w:r w:rsidR="00753B6B" w:rsidRPr="00753B6B">
        <w:rPr>
          <w:bCs/>
          <w:i/>
          <w:szCs w:val="28"/>
        </w:rPr>
        <w:t>Obveze za zajmove od ostalih tuzemnih financijskih institucija izvan javnog sektora</w:t>
      </w:r>
      <w:r w:rsidR="00753B6B" w:rsidRPr="007E5923">
        <w:rPr>
          <w:bCs/>
          <w:szCs w:val="28"/>
        </w:rPr>
        <w:t xml:space="preserve"> s obzirom na to da se radi o doprinosima za mirovinsko osiguranje obveznika koji se uplaćuju u mirovinske fondove, a ne sredstvima REGOS-a.</w:t>
      </w:r>
    </w:p>
    <w:p w14:paraId="4ADAF3D7" w14:textId="18F4A2C6" w:rsidR="007E5923" w:rsidRDefault="007E5923" w:rsidP="007375C3">
      <w:pPr>
        <w:jc w:val="both"/>
        <w:rPr>
          <w:bCs/>
          <w:szCs w:val="28"/>
        </w:rPr>
      </w:pPr>
    </w:p>
    <w:p w14:paraId="70965D75" w14:textId="6BD38CAF" w:rsidR="001177A6" w:rsidRPr="00D42A73" w:rsidRDefault="007375C3" w:rsidP="007375C3">
      <w:pPr>
        <w:jc w:val="both"/>
        <w:rPr>
          <w:bCs/>
          <w:szCs w:val="28"/>
        </w:rPr>
      </w:pPr>
      <w:r w:rsidRPr="00D42A73">
        <w:rPr>
          <w:bCs/>
          <w:szCs w:val="28"/>
        </w:rPr>
        <w:t>Pravilnik o povezivanju podataka o doprinosima za obvezna mirovinska osiguranja (Narodne novine, broj 71/18) propisuje način, rokove povezivanja podataka te evidentiranje i izvješćivanje o povezanim podacima i raspored nepovezanih uplata doprinosa za mirovinsko osiguranje temeljem individualne kapitalizirane štednje bez pristanka obveznika plaćanja dok Pravilnik o postupanju Središnjeg registra osiguranika i mirovinskih društava prema članovima obveznih mirovinskih fondova (Narodne novine, br. 60/14, 135/15, 86/18, 56/19 i 91/19), (dalje u tekstu: Pravilnik o postupanju) propisuje, između ostalog, način plaćanja doprinosa, način postupanja sa sredstvima na prolaznom i privremenom računu te način prosljeđivanja sredstava.</w:t>
      </w:r>
      <w:r w:rsidR="00187157" w:rsidRPr="00D42A73">
        <w:rPr>
          <w:bCs/>
          <w:szCs w:val="28"/>
        </w:rPr>
        <w:t xml:space="preserve"> </w:t>
      </w:r>
    </w:p>
    <w:p w14:paraId="630DFF0F" w14:textId="77777777" w:rsidR="001177A6" w:rsidRPr="00D42A73" w:rsidRDefault="001177A6" w:rsidP="001177A6">
      <w:pPr>
        <w:jc w:val="both"/>
      </w:pPr>
      <w:r w:rsidRPr="00D42A73">
        <w:rPr>
          <w:bCs/>
          <w:szCs w:val="28"/>
        </w:rPr>
        <w:t>Sukladno čl. 9. st. 2. Pravilnika o postupanju REGOS sredstva s prolaznog računa prosljeđuje sljedeći radni dan od dana povezivanja podataka o obračunatoj obvezi doprinosa na osobne račune članova mirovinskih fondova, sukladno propisu koji regulira povezivanje podataka o doprinosima za obvezna mirovinska osiguranja. Prolazni račun je račun REGOS-a za uplatu doprinosa za obvezno mirovinsko osiguranje na temelju individualne kapitalizirane štednje (drugi stup). U skladu s Pravilnikom o</w:t>
      </w:r>
      <w:r w:rsidRPr="00D42A73">
        <w:t xml:space="preserve"> </w:t>
      </w:r>
      <w:r w:rsidRPr="00D42A73">
        <w:rPr>
          <w:bCs/>
          <w:szCs w:val="28"/>
        </w:rPr>
        <w:t xml:space="preserve">postupanju REGOS bez odgode prosljeđuje na privremeni račun protekom osam radnih dana od datuma uplate na prolazni račun nepovezane uplate doprinosa </w:t>
      </w:r>
      <w:r w:rsidRPr="00D42A73">
        <w:t xml:space="preserve">definirane propisom o povezivanju podataka o doprinosima za obvezna mirovinska osiguranja te uplaćena sredstva doprinosa za osiguranike koji nisu odabrali mirovinski fond. </w:t>
      </w:r>
    </w:p>
    <w:p w14:paraId="23403EA2" w14:textId="77777777" w:rsidR="001177A6" w:rsidRPr="00D42A73" w:rsidRDefault="001177A6" w:rsidP="001177A6">
      <w:pPr>
        <w:jc w:val="both"/>
      </w:pPr>
    </w:p>
    <w:p w14:paraId="6D42C092" w14:textId="6640268B" w:rsidR="001177A6" w:rsidRPr="00D42A73" w:rsidRDefault="001177A6" w:rsidP="001177A6">
      <w:pPr>
        <w:jc w:val="both"/>
        <w:rPr>
          <w:bCs/>
          <w:szCs w:val="28"/>
        </w:rPr>
      </w:pPr>
      <w:r w:rsidRPr="00D42A73">
        <w:rPr>
          <w:bCs/>
          <w:szCs w:val="28"/>
        </w:rPr>
        <w:lastRenderedPageBreak/>
        <w:t>Nastavno na navedeno, sredstva od nepovezanih uplata usmjeravaju se s prolaznog računa na privremeni račun i odmah istog dana na račun državnog proračuna. Također, svakog prvog radnog dana u tjednu za prethodni tjedan REGOS, nakon naknadnog povezivanja uplata doprinosa za mirovinsko osiguranje temeljem individualne kapitalizirane štednje (drugi stup), dostavlja podatke Ministarstvu financija o ukupnom iznosu sredstava naknadno povezanih uplata te se ista usmjeravaju s privremenog na prolazni račun REGOS-a.</w:t>
      </w:r>
    </w:p>
    <w:p w14:paraId="4613827B" w14:textId="77777777" w:rsidR="00EB20B4" w:rsidRPr="00D42A73" w:rsidRDefault="00EB20B4" w:rsidP="001177A6">
      <w:pPr>
        <w:jc w:val="both"/>
        <w:rPr>
          <w:bCs/>
          <w:szCs w:val="28"/>
        </w:rPr>
      </w:pPr>
    </w:p>
    <w:p w14:paraId="503FA173" w14:textId="11E43AD0" w:rsidR="001177A6" w:rsidRPr="00D42A73" w:rsidRDefault="001177A6" w:rsidP="001177A6">
      <w:pPr>
        <w:jc w:val="both"/>
      </w:pPr>
      <w:r w:rsidRPr="00D42A73">
        <w:t>Nakon povezivanja nepovezanih uplata, REGOS je dužan sredstva s privremenog računa proslijediti na osobne račune članova, a za osiguranike koji nisu odabrali mirovinski fond, REGOS uplaćena sredstva doprinosa prosljeđuje na osobne račune članova p</w:t>
      </w:r>
      <w:r w:rsidR="00EB20B4" w:rsidRPr="00D42A73">
        <w:t>o učlanjenju u mirovinski fond.</w:t>
      </w:r>
    </w:p>
    <w:p w14:paraId="70D80152" w14:textId="7828CB2F" w:rsidR="00187157" w:rsidRPr="003B30B6" w:rsidRDefault="00187157" w:rsidP="00187157">
      <w:pPr>
        <w:jc w:val="both"/>
        <w:rPr>
          <w:bCs/>
          <w:szCs w:val="28"/>
        </w:rPr>
      </w:pPr>
    </w:p>
    <w:p w14:paraId="29B7A100" w14:textId="044E8F2A" w:rsidR="00187157" w:rsidRPr="003B30B6" w:rsidRDefault="004A73A4" w:rsidP="00187157">
      <w:pPr>
        <w:keepNext/>
        <w:jc w:val="center"/>
        <w:rPr>
          <w:bCs/>
          <w:sz w:val="28"/>
          <w:szCs w:val="28"/>
        </w:rPr>
      </w:pPr>
      <w:r>
        <w:rPr>
          <w:bCs/>
          <w:sz w:val="28"/>
          <w:szCs w:val="28"/>
        </w:rPr>
        <w:t>Bilješka 25</w:t>
      </w:r>
      <w:r w:rsidR="00187157" w:rsidRPr="00C85DCC">
        <w:rPr>
          <w:bCs/>
          <w:sz w:val="28"/>
          <w:szCs w:val="28"/>
        </w:rPr>
        <w:t>.</w:t>
      </w:r>
    </w:p>
    <w:p w14:paraId="04A83A5F" w14:textId="6F686F3A" w:rsidR="00187157" w:rsidRPr="00D42A73" w:rsidRDefault="007F29AC" w:rsidP="00187157">
      <w:pPr>
        <w:keepNext/>
        <w:jc w:val="center"/>
        <w:rPr>
          <w:bCs/>
          <w:sz w:val="28"/>
          <w:szCs w:val="28"/>
        </w:rPr>
      </w:pPr>
      <w:r w:rsidRPr="00D42A73">
        <w:rPr>
          <w:bCs/>
          <w:sz w:val="28"/>
          <w:szCs w:val="28"/>
        </w:rPr>
        <w:t>AOP 206</w:t>
      </w:r>
      <w:r w:rsidR="00187157" w:rsidRPr="00D42A73">
        <w:rPr>
          <w:bCs/>
          <w:sz w:val="28"/>
          <w:szCs w:val="28"/>
        </w:rPr>
        <w:t xml:space="preserve"> Obveze za kredite od tuzemnih kreditnih institucija izvan javnog sektora</w:t>
      </w:r>
    </w:p>
    <w:p w14:paraId="44D3F8EC" w14:textId="3EDA9644" w:rsidR="00187157" w:rsidRPr="00D42A73" w:rsidRDefault="00187157" w:rsidP="00187157">
      <w:pPr>
        <w:keepNext/>
        <w:jc w:val="both"/>
        <w:rPr>
          <w:bCs/>
        </w:rPr>
      </w:pPr>
      <w:r w:rsidRPr="00D42A73">
        <w:rPr>
          <w:bCs/>
        </w:rPr>
        <w:t xml:space="preserve">Iznos od </w:t>
      </w:r>
      <w:r w:rsidR="00907B1E" w:rsidRPr="00D42A73">
        <w:rPr>
          <w:bCs/>
        </w:rPr>
        <w:t>19.842.157.179</w:t>
      </w:r>
      <w:r w:rsidRPr="00D42A73">
        <w:rPr>
          <w:bCs/>
        </w:rPr>
        <w:t xml:space="preserve"> </w:t>
      </w:r>
      <w:r w:rsidR="00FE019C" w:rsidRPr="00D42A73">
        <w:rPr>
          <w:bCs/>
        </w:rPr>
        <w:t>kuna</w:t>
      </w:r>
      <w:r w:rsidRPr="00D42A73">
        <w:rPr>
          <w:bCs/>
        </w:rPr>
        <w:t xml:space="preserve"> čine obveze za kredite od tuzemnih kreditnih institucija izvan javnog sektora čija analitika je dana u </w:t>
      </w:r>
      <w:r w:rsidR="00C85DCC">
        <w:rPr>
          <w:bCs/>
        </w:rPr>
        <w:t>Tablicama 12. i 13</w:t>
      </w:r>
      <w:r w:rsidR="00C2390B">
        <w:rPr>
          <w:bCs/>
        </w:rPr>
        <w:t>.</w:t>
      </w:r>
    </w:p>
    <w:p w14:paraId="1301483C" w14:textId="77777777" w:rsidR="00187157" w:rsidRPr="00D42A73" w:rsidRDefault="00187157" w:rsidP="00187157">
      <w:pPr>
        <w:jc w:val="both"/>
        <w:rPr>
          <w:b/>
          <w:bCs/>
        </w:rPr>
      </w:pPr>
    </w:p>
    <w:p w14:paraId="333CD8C0" w14:textId="3FC95917" w:rsidR="00D51720" w:rsidRPr="00D42A73" w:rsidRDefault="004A73A4" w:rsidP="00D51720">
      <w:pPr>
        <w:keepNext/>
        <w:jc w:val="both"/>
        <w:rPr>
          <w:b/>
          <w:sz w:val="20"/>
          <w:szCs w:val="20"/>
        </w:rPr>
      </w:pPr>
      <w:r>
        <w:rPr>
          <w:b/>
          <w:sz w:val="20"/>
          <w:szCs w:val="20"/>
        </w:rPr>
        <w:t>Tablica 12</w:t>
      </w:r>
      <w:r w:rsidR="00187157" w:rsidRPr="00D42A73">
        <w:rPr>
          <w:b/>
          <w:sz w:val="20"/>
          <w:szCs w:val="20"/>
        </w:rPr>
        <w:t>.</w:t>
      </w:r>
    </w:p>
    <w:tbl>
      <w:tblPr>
        <w:tblW w:w="10065" w:type="dxa"/>
        <w:jc w:val="center"/>
        <w:tblLayout w:type="fixed"/>
        <w:tblLook w:val="04A0" w:firstRow="1" w:lastRow="0" w:firstColumn="1" w:lastColumn="0" w:noHBand="0" w:noVBand="1"/>
      </w:tblPr>
      <w:tblGrid>
        <w:gridCol w:w="1251"/>
        <w:gridCol w:w="3144"/>
        <w:gridCol w:w="1134"/>
        <w:gridCol w:w="851"/>
        <w:gridCol w:w="1842"/>
        <w:gridCol w:w="1843"/>
      </w:tblGrid>
      <w:tr w:rsidR="00907B1E" w:rsidRPr="007F2D4C" w14:paraId="0F5DA084" w14:textId="77777777" w:rsidTr="007F2D4C">
        <w:trPr>
          <w:trHeight w:val="799"/>
          <w:jc w:val="center"/>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BC2D2" w14:textId="77777777" w:rsidR="00907B1E" w:rsidRPr="007F2D4C" w:rsidRDefault="00907B1E">
            <w:pPr>
              <w:jc w:val="center"/>
              <w:rPr>
                <w:b/>
                <w:bCs/>
                <w:sz w:val="20"/>
                <w:szCs w:val="20"/>
              </w:rPr>
            </w:pPr>
            <w:r w:rsidRPr="007F2D4C">
              <w:rPr>
                <w:b/>
                <w:bCs/>
                <w:sz w:val="20"/>
                <w:szCs w:val="20"/>
              </w:rPr>
              <w:t>Red. broj</w:t>
            </w:r>
          </w:p>
        </w:tc>
        <w:tc>
          <w:tcPr>
            <w:tcW w:w="3144" w:type="dxa"/>
            <w:tcBorders>
              <w:top w:val="single" w:sz="4" w:space="0" w:color="auto"/>
              <w:left w:val="nil"/>
              <w:bottom w:val="single" w:sz="4" w:space="0" w:color="auto"/>
              <w:right w:val="single" w:sz="4" w:space="0" w:color="auto"/>
            </w:tcBorders>
            <w:shd w:val="clear" w:color="auto" w:fill="auto"/>
            <w:noWrap/>
            <w:vAlign w:val="center"/>
            <w:hideMark/>
          </w:tcPr>
          <w:p w14:paraId="66EDBB58" w14:textId="77777777" w:rsidR="00907B1E" w:rsidRPr="007F2D4C" w:rsidRDefault="00907B1E">
            <w:pPr>
              <w:jc w:val="center"/>
              <w:rPr>
                <w:b/>
                <w:bCs/>
                <w:sz w:val="20"/>
                <w:szCs w:val="20"/>
              </w:rPr>
            </w:pPr>
            <w:r w:rsidRPr="007F2D4C">
              <w:rPr>
                <w:b/>
                <w:bCs/>
                <w:sz w:val="20"/>
                <w:szCs w:val="20"/>
              </w:rPr>
              <w:t>Namjena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38FCA1" w14:textId="77777777" w:rsidR="00907B1E" w:rsidRPr="007F2D4C" w:rsidRDefault="00907B1E">
            <w:pPr>
              <w:jc w:val="center"/>
              <w:rPr>
                <w:b/>
                <w:bCs/>
                <w:sz w:val="20"/>
                <w:szCs w:val="20"/>
              </w:rPr>
            </w:pPr>
            <w:r w:rsidRPr="007F2D4C">
              <w:rPr>
                <w:b/>
                <w:bCs/>
                <w:sz w:val="20"/>
                <w:szCs w:val="20"/>
              </w:rPr>
              <w:t>Banka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408847" w14:textId="77777777" w:rsidR="00907B1E" w:rsidRPr="007F2D4C" w:rsidRDefault="00907B1E">
            <w:pPr>
              <w:jc w:val="center"/>
              <w:rPr>
                <w:b/>
                <w:bCs/>
                <w:sz w:val="20"/>
                <w:szCs w:val="20"/>
              </w:rPr>
            </w:pPr>
            <w:r w:rsidRPr="007F2D4C">
              <w:rPr>
                <w:b/>
                <w:bCs/>
                <w:sz w:val="20"/>
                <w:szCs w:val="20"/>
              </w:rPr>
              <w:t>Valuta</w:t>
            </w:r>
          </w:p>
        </w:tc>
        <w:tc>
          <w:tcPr>
            <w:tcW w:w="1842" w:type="dxa"/>
            <w:tcBorders>
              <w:top w:val="single" w:sz="4" w:space="0" w:color="auto"/>
              <w:left w:val="nil"/>
              <w:bottom w:val="nil"/>
              <w:right w:val="single" w:sz="4" w:space="0" w:color="auto"/>
            </w:tcBorders>
            <w:shd w:val="clear" w:color="auto" w:fill="auto"/>
            <w:vAlign w:val="center"/>
            <w:hideMark/>
          </w:tcPr>
          <w:p w14:paraId="08B8D2D4" w14:textId="77777777" w:rsidR="00907B1E" w:rsidRPr="007F2D4C" w:rsidRDefault="00907B1E">
            <w:pPr>
              <w:jc w:val="center"/>
              <w:rPr>
                <w:b/>
                <w:bCs/>
                <w:sz w:val="20"/>
                <w:szCs w:val="20"/>
              </w:rPr>
            </w:pPr>
            <w:r w:rsidRPr="007F2D4C">
              <w:rPr>
                <w:b/>
                <w:bCs/>
                <w:sz w:val="20"/>
                <w:szCs w:val="20"/>
              </w:rPr>
              <w:t>Stanje obveza na dan 31.12.2021. (</w:t>
            </w:r>
            <w:proofErr w:type="spellStart"/>
            <w:r w:rsidRPr="007F2D4C">
              <w:rPr>
                <w:b/>
                <w:bCs/>
                <w:sz w:val="20"/>
                <w:szCs w:val="20"/>
              </w:rPr>
              <w:t>org.val</w:t>
            </w:r>
            <w:proofErr w:type="spellEnd"/>
            <w:r w:rsidRPr="007F2D4C">
              <w:rPr>
                <w:b/>
                <w:bCs/>
                <w:sz w:val="20"/>
                <w:szCs w:val="20"/>
              </w:rPr>
              <w:t>.)</w:t>
            </w:r>
          </w:p>
        </w:tc>
        <w:tc>
          <w:tcPr>
            <w:tcW w:w="1843" w:type="dxa"/>
            <w:tcBorders>
              <w:top w:val="single" w:sz="4" w:space="0" w:color="auto"/>
              <w:left w:val="nil"/>
              <w:bottom w:val="nil"/>
              <w:right w:val="single" w:sz="4" w:space="0" w:color="auto"/>
            </w:tcBorders>
            <w:shd w:val="clear" w:color="auto" w:fill="auto"/>
            <w:vAlign w:val="center"/>
            <w:hideMark/>
          </w:tcPr>
          <w:p w14:paraId="357CC9FC" w14:textId="77777777" w:rsidR="00907B1E" w:rsidRPr="007F2D4C" w:rsidRDefault="00907B1E">
            <w:pPr>
              <w:jc w:val="center"/>
              <w:rPr>
                <w:b/>
                <w:bCs/>
                <w:sz w:val="20"/>
                <w:szCs w:val="20"/>
              </w:rPr>
            </w:pPr>
            <w:r w:rsidRPr="007F2D4C">
              <w:rPr>
                <w:b/>
                <w:bCs/>
                <w:sz w:val="20"/>
                <w:szCs w:val="20"/>
              </w:rPr>
              <w:t>Stanje obveza na 31.12.2021. u kunama</w:t>
            </w:r>
          </w:p>
        </w:tc>
      </w:tr>
      <w:tr w:rsidR="00907B1E" w:rsidRPr="007F2D4C" w14:paraId="1642DD1B"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5E3A4DF" w14:textId="77777777" w:rsidR="00907B1E" w:rsidRPr="007F2D4C" w:rsidRDefault="00907B1E">
            <w:pPr>
              <w:jc w:val="center"/>
              <w:rPr>
                <w:sz w:val="20"/>
                <w:szCs w:val="20"/>
              </w:rPr>
            </w:pPr>
            <w:r w:rsidRPr="007F2D4C">
              <w:rPr>
                <w:sz w:val="20"/>
                <w:szCs w:val="20"/>
              </w:rPr>
              <w:t>1.</w:t>
            </w:r>
          </w:p>
        </w:tc>
        <w:tc>
          <w:tcPr>
            <w:tcW w:w="3144" w:type="dxa"/>
            <w:tcBorders>
              <w:top w:val="nil"/>
              <w:left w:val="nil"/>
              <w:bottom w:val="single" w:sz="4" w:space="0" w:color="auto"/>
              <w:right w:val="single" w:sz="4" w:space="0" w:color="auto"/>
            </w:tcBorders>
            <w:shd w:val="clear" w:color="auto" w:fill="auto"/>
            <w:noWrap/>
            <w:vAlign w:val="center"/>
            <w:hideMark/>
          </w:tcPr>
          <w:p w14:paraId="5938CC56" w14:textId="77777777" w:rsidR="00907B1E" w:rsidRPr="007F2D4C" w:rsidRDefault="00907B1E">
            <w:pPr>
              <w:rPr>
                <w:sz w:val="20"/>
                <w:szCs w:val="20"/>
              </w:rPr>
            </w:pPr>
            <w:r w:rsidRPr="007F2D4C">
              <w:rPr>
                <w:sz w:val="20"/>
                <w:szCs w:val="20"/>
              </w:rPr>
              <w:t>KBC 2007 (HRK 572,8) F-022-07</w:t>
            </w:r>
          </w:p>
        </w:tc>
        <w:tc>
          <w:tcPr>
            <w:tcW w:w="1134" w:type="dxa"/>
            <w:tcBorders>
              <w:top w:val="nil"/>
              <w:left w:val="nil"/>
              <w:bottom w:val="single" w:sz="4" w:space="0" w:color="auto"/>
              <w:right w:val="single" w:sz="4" w:space="0" w:color="auto"/>
            </w:tcBorders>
            <w:shd w:val="clear" w:color="auto" w:fill="auto"/>
            <w:noWrap/>
            <w:vAlign w:val="center"/>
            <w:hideMark/>
          </w:tcPr>
          <w:p w14:paraId="7303EA76" w14:textId="77777777" w:rsidR="00907B1E" w:rsidRPr="007F2D4C" w:rsidRDefault="00907B1E">
            <w:pPr>
              <w:jc w:val="center"/>
              <w:rPr>
                <w:sz w:val="20"/>
                <w:szCs w:val="20"/>
              </w:rPr>
            </w:pPr>
            <w:r w:rsidRPr="007F2D4C">
              <w:rPr>
                <w:sz w:val="20"/>
                <w:szCs w:val="20"/>
              </w:rPr>
              <w:t>PBZ</w:t>
            </w:r>
          </w:p>
        </w:tc>
        <w:tc>
          <w:tcPr>
            <w:tcW w:w="851" w:type="dxa"/>
            <w:tcBorders>
              <w:top w:val="nil"/>
              <w:left w:val="nil"/>
              <w:bottom w:val="single" w:sz="4" w:space="0" w:color="auto"/>
              <w:right w:val="single" w:sz="4" w:space="0" w:color="auto"/>
            </w:tcBorders>
            <w:shd w:val="clear" w:color="auto" w:fill="auto"/>
            <w:noWrap/>
            <w:vAlign w:val="center"/>
            <w:hideMark/>
          </w:tcPr>
          <w:p w14:paraId="7846AE4B" w14:textId="77777777" w:rsidR="00907B1E" w:rsidRPr="007F2D4C" w:rsidRDefault="00907B1E">
            <w:pPr>
              <w:jc w:val="center"/>
              <w:rPr>
                <w:sz w:val="20"/>
                <w:szCs w:val="20"/>
              </w:rPr>
            </w:pPr>
            <w:r w:rsidRPr="007F2D4C">
              <w:rPr>
                <w:sz w:val="20"/>
                <w:szCs w:val="20"/>
              </w:rPr>
              <w:t>HRK</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A997625" w14:textId="77777777" w:rsidR="00907B1E" w:rsidRPr="007F2D4C" w:rsidRDefault="00907B1E">
            <w:pPr>
              <w:jc w:val="right"/>
              <w:rPr>
                <w:sz w:val="20"/>
                <w:szCs w:val="20"/>
              </w:rPr>
            </w:pPr>
            <w:r w:rsidRPr="007F2D4C">
              <w:rPr>
                <w:sz w:val="20"/>
                <w:szCs w:val="20"/>
              </w:rPr>
              <w:t>203.272.771,35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564FDD" w14:textId="77777777" w:rsidR="00907B1E" w:rsidRPr="007F2D4C" w:rsidRDefault="00907B1E">
            <w:pPr>
              <w:jc w:val="right"/>
              <w:rPr>
                <w:sz w:val="20"/>
                <w:szCs w:val="20"/>
              </w:rPr>
            </w:pPr>
            <w:r w:rsidRPr="007F2D4C">
              <w:rPr>
                <w:sz w:val="20"/>
                <w:szCs w:val="20"/>
              </w:rPr>
              <w:t>203.272.771,35</w:t>
            </w:r>
          </w:p>
        </w:tc>
      </w:tr>
      <w:tr w:rsidR="00907B1E" w:rsidRPr="007F2D4C" w14:paraId="7838230C"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E290630" w14:textId="77777777" w:rsidR="00907B1E" w:rsidRPr="007F2D4C" w:rsidRDefault="00907B1E">
            <w:pPr>
              <w:jc w:val="center"/>
              <w:rPr>
                <w:sz w:val="20"/>
                <w:szCs w:val="20"/>
              </w:rPr>
            </w:pPr>
            <w:r w:rsidRPr="007F2D4C">
              <w:rPr>
                <w:sz w:val="20"/>
                <w:szCs w:val="20"/>
              </w:rPr>
              <w:t>2.</w:t>
            </w:r>
          </w:p>
        </w:tc>
        <w:tc>
          <w:tcPr>
            <w:tcW w:w="3144" w:type="dxa"/>
            <w:tcBorders>
              <w:top w:val="nil"/>
              <w:left w:val="nil"/>
              <w:bottom w:val="nil"/>
              <w:right w:val="single" w:sz="4" w:space="0" w:color="auto"/>
            </w:tcBorders>
            <w:shd w:val="clear" w:color="auto" w:fill="auto"/>
            <w:noWrap/>
            <w:vAlign w:val="center"/>
            <w:hideMark/>
          </w:tcPr>
          <w:p w14:paraId="26DF2DD0" w14:textId="77777777" w:rsidR="00907B1E" w:rsidRPr="007F2D4C" w:rsidRDefault="00907B1E">
            <w:pPr>
              <w:rPr>
                <w:sz w:val="20"/>
                <w:szCs w:val="20"/>
              </w:rPr>
            </w:pPr>
            <w:r w:rsidRPr="007F2D4C">
              <w:rPr>
                <w:sz w:val="20"/>
                <w:szCs w:val="20"/>
              </w:rPr>
              <w:t>HŽ Infrastruktura F-014-12 preuzeto 2014.</w:t>
            </w:r>
          </w:p>
        </w:tc>
        <w:tc>
          <w:tcPr>
            <w:tcW w:w="1134" w:type="dxa"/>
            <w:tcBorders>
              <w:top w:val="nil"/>
              <w:left w:val="nil"/>
              <w:bottom w:val="nil"/>
              <w:right w:val="single" w:sz="4" w:space="0" w:color="auto"/>
            </w:tcBorders>
            <w:shd w:val="clear" w:color="auto" w:fill="auto"/>
            <w:noWrap/>
            <w:vAlign w:val="center"/>
            <w:hideMark/>
          </w:tcPr>
          <w:p w14:paraId="5AED5E40"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nil"/>
              <w:right w:val="single" w:sz="4" w:space="0" w:color="auto"/>
            </w:tcBorders>
            <w:shd w:val="clear" w:color="auto" w:fill="auto"/>
            <w:noWrap/>
            <w:vAlign w:val="center"/>
            <w:hideMark/>
          </w:tcPr>
          <w:p w14:paraId="5F45A759" w14:textId="77777777" w:rsidR="00907B1E" w:rsidRPr="007F2D4C" w:rsidRDefault="00907B1E">
            <w:pPr>
              <w:jc w:val="center"/>
              <w:rPr>
                <w:sz w:val="20"/>
                <w:szCs w:val="20"/>
              </w:rPr>
            </w:pPr>
            <w:r w:rsidRPr="007F2D4C">
              <w:rPr>
                <w:sz w:val="20"/>
                <w:szCs w:val="20"/>
              </w:rPr>
              <w:t>EUR</w:t>
            </w:r>
          </w:p>
        </w:tc>
        <w:tc>
          <w:tcPr>
            <w:tcW w:w="1842" w:type="dxa"/>
            <w:tcBorders>
              <w:top w:val="nil"/>
              <w:left w:val="nil"/>
              <w:bottom w:val="nil"/>
              <w:right w:val="single" w:sz="4" w:space="0" w:color="auto"/>
            </w:tcBorders>
            <w:shd w:val="clear" w:color="auto" w:fill="auto"/>
            <w:noWrap/>
            <w:vAlign w:val="center"/>
            <w:hideMark/>
          </w:tcPr>
          <w:p w14:paraId="0E31E2F8" w14:textId="77777777" w:rsidR="00907B1E" w:rsidRPr="007F2D4C" w:rsidRDefault="00907B1E">
            <w:pPr>
              <w:jc w:val="right"/>
              <w:rPr>
                <w:sz w:val="20"/>
                <w:szCs w:val="20"/>
              </w:rPr>
            </w:pPr>
            <w:r w:rsidRPr="007F2D4C">
              <w:rPr>
                <w:sz w:val="20"/>
                <w:szCs w:val="20"/>
              </w:rPr>
              <w:t>3.729.455,60</w:t>
            </w:r>
          </w:p>
        </w:tc>
        <w:tc>
          <w:tcPr>
            <w:tcW w:w="1843" w:type="dxa"/>
            <w:tcBorders>
              <w:top w:val="nil"/>
              <w:left w:val="nil"/>
              <w:bottom w:val="single" w:sz="4" w:space="0" w:color="auto"/>
              <w:right w:val="single" w:sz="4" w:space="0" w:color="auto"/>
            </w:tcBorders>
            <w:shd w:val="clear" w:color="auto" w:fill="auto"/>
            <w:noWrap/>
            <w:vAlign w:val="center"/>
            <w:hideMark/>
          </w:tcPr>
          <w:p w14:paraId="2ADCEB35" w14:textId="77777777" w:rsidR="00907B1E" w:rsidRPr="007F2D4C" w:rsidRDefault="00907B1E">
            <w:pPr>
              <w:jc w:val="right"/>
              <w:rPr>
                <w:sz w:val="20"/>
                <w:szCs w:val="20"/>
              </w:rPr>
            </w:pPr>
            <w:r w:rsidRPr="007F2D4C">
              <w:rPr>
                <w:sz w:val="20"/>
                <w:szCs w:val="20"/>
              </w:rPr>
              <w:t>28.034.951,75</w:t>
            </w:r>
          </w:p>
        </w:tc>
      </w:tr>
      <w:tr w:rsidR="00907B1E" w:rsidRPr="007F2D4C" w14:paraId="5FC78A9A"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CA5788D" w14:textId="77777777" w:rsidR="00907B1E" w:rsidRPr="007F2D4C" w:rsidRDefault="00907B1E">
            <w:pPr>
              <w:jc w:val="center"/>
              <w:rPr>
                <w:sz w:val="20"/>
                <w:szCs w:val="20"/>
              </w:rPr>
            </w:pPr>
            <w:r w:rsidRPr="007F2D4C">
              <w:rPr>
                <w:sz w:val="20"/>
                <w:szCs w:val="20"/>
              </w:rPr>
              <w:t>3.</w:t>
            </w:r>
          </w:p>
        </w:tc>
        <w:tc>
          <w:tcPr>
            <w:tcW w:w="3144" w:type="dxa"/>
            <w:tcBorders>
              <w:top w:val="single" w:sz="4" w:space="0" w:color="auto"/>
              <w:left w:val="nil"/>
              <w:bottom w:val="nil"/>
              <w:right w:val="single" w:sz="4" w:space="0" w:color="auto"/>
            </w:tcBorders>
            <w:shd w:val="clear" w:color="auto" w:fill="auto"/>
            <w:noWrap/>
            <w:vAlign w:val="center"/>
            <w:hideMark/>
          </w:tcPr>
          <w:p w14:paraId="130E7000" w14:textId="77777777" w:rsidR="00907B1E" w:rsidRPr="007F2D4C" w:rsidRDefault="00907B1E">
            <w:pPr>
              <w:rPr>
                <w:sz w:val="20"/>
                <w:szCs w:val="20"/>
              </w:rPr>
            </w:pPr>
            <w:r w:rsidRPr="007F2D4C">
              <w:rPr>
                <w:sz w:val="20"/>
                <w:szCs w:val="20"/>
              </w:rPr>
              <w:t>HŽ Infrastruktura F-011-13 preuzeto 2015.</w:t>
            </w:r>
          </w:p>
        </w:tc>
        <w:tc>
          <w:tcPr>
            <w:tcW w:w="1134" w:type="dxa"/>
            <w:tcBorders>
              <w:top w:val="single" w:sz="4" w:space="0" w:color="auto"/>
              <w:left w:val="nil"/>
              <w:bottom w:val="nil"/>
              <w:right w:val="single" w:sz="4" w:space="0" w:color="auto"/>
            </w:tcBorders>
            <w:shd w:val="clear" w:color="auto" w:fill="auto"/>
            <w:noWrap/>
            <w:vAlign w:val="center"/>
            <w:hideMark/>
          </w:tcPr>
          <w:p w14:paraId="2BEB5B03" w14:textId="77777777" w:rsidR="00907B1E" w:rsidRPr="007F2D4C" w:rsidRDefault="00907B1E">
            <w:pPr>
              <w:jc w:val="center"/>
              <w:rPr>
                <w:sz w:val="20"/>
                <w:szCs w:val="20"/>
              </w:rPr>
            </w:pPr>
            <w:r w:rsidRPr="007F2D4C">
              <w:rPr>
                <w:sz w:val="20"/>
                <w:szCs w:val="20"/>
              </w:rPr>
              <w:t xml:space="preserve">Erste </w:t>
            </w:r>
            <w:proofErr w:type="spellStart"/>
            <w:r w:rsidRPr="007F2D4C">
              <w:rPr>
                <w:sz w:val="20"/>
                <w:szCs w:val="20"/>
              </w:rPr>
              <w:t>bank</w:t>
            </w:r>
            <w:proofErr w:type="spellEnd"/>
            <w:r w:rsidRPr="007F2D4C">
              <w:rPr>
                <w:sz w:val="20"/>
                <w:szCs w:val="20"/>
              </w:rPr>
              <w:t xml:space="preserve"> </w:t>
            </w:r>
          </w:p>
        </w:tc>
        <w:tc>
          <w:tcPr>
            <w:tcW w:w="851" w:type="dxa"/>
            <w:tcBorders>
              <w:top w:val="single" w:sz="4" w:space="0" w:color="auto"/>
              <w:left w:val="nil"/>
              <w:bottom w:val="nil"/>
              <w:right w:val="single" w:sz="4" w:space="0" w:color="auto"/>
            </w:tcBorders>
            <w:shd w:val="clear" w:color="auto" w:fill="auto"/>
            <w:noWrap/>
            <w:vAlign w:val="center"/>
            <w:hideMark/>
          </w:tcPr>
          <w:p w14:paraId="7F0F3F9A" w14:textId="77777777" w:rsidR="00907B1E" w:rsidRPr="007F2D4C" w:rsidRDefault="00907B1E">
            <w:pPr>
              <w:jc w:val="center"/>
              <w:rPr>
                <w:sz w:val="20"/>
                <w:szCs w:val="20"/>
              </w:rPr>
            </w:pPr>
            <w:r w:rsidRPr="007F2D4C">
              <w:rPr>
                <w:sz w:val="20"/>
                <w:szCs w:val="20"/>
              </w:rPr>
              <w:t>EUR</w:t>
            </w:r>
          </w:p>
        </w:tc>
        <w:tc>
          <w:tcPr>
            <w:tcW w:w="1842" w:type="dxa"/>
            <w:tcBorders>
              <w:top w:val="single" w:sz="4" w:space="0" w:color="auto"/>
              <w:left w:val="nil"/>
              <w:bottom w:val="nil"/>
              <w:right w:val="single" w:sz="4" w:space="0" w:color="auto"/>
            </w:tcBorders>
            <w:shd w:val="clear" w:color="auto" w:fill="auto"/>
            <w:noWrap/>
            <w:vAlign w:val="center"/>
            <w:hideMark/>
          </w:tcPr>
          <w:p w14:paraId="0707FC06" w14:textId="77777777" w:rsidR="00907B1E" w:rsidRPr="007F2D4C" w:rsidRDefault="00907B1E">
            <w:pPr>
              <w:jc w:val="right"/>
              <w:rPr>
                <w:sz w:val="20"/>
                <w:szCs w:val="20"/>
              </w:rPr>
            </w:pPr>
            <w:r w:rsidRPr="007F2D4C">
              <w:rPr>
                <w:sz w:val="20"/>
                <w:szCs w:val="20"/>
              </w:rPr>
              <w:t>31.034.093,10</w:t>
            </w:r>
          </w:p>
        </w:tc>
        <w:tc>
          <w:tcPr>
            <w:tcW w:w="1843" w:type="dxa"/>
            <w:tcBorders>
              <w:top w:val="nil"/>
              <w:left w:val="nil"/>
              <w:bottom w:val="single" w:sz="4" w:space="0" w:color="auto"/>
              <w:right w:val="single" w:sz="4" w:space="0" w:color="auto"/>
            </w:tcBorders>
            <w:shd w:val="clear" w:color="auto" w:fill="auto"/>
            <w:noWrap/>
            <w:vAlign w:val="center"/>
            <w:hideMark/>
          </w:tcPr>
          <w:p w14:paraId="585C1612" w14:textId="77777777" w:rsidR="00907B1E" w:rsidRPr="007F2D4C" w:rsidRDefault="00907B1E">
            <w:pPr>
              <w:jc w:val="right"/>
              <w:rPr>
                <w:sz w:val="20"/>
                <w:szCs w:val="20"/>
              </w:rPr>
            </w:pPr>
            <w:r w:rsidRPr="007F2D4C">
              <w:rPr>
                <w:sz w:val="20"/>
                <w:szCs w:val="20"/>
              </w:rPr>
              <w:t>233.288.553,63</w:t>
            </w:r>
          </w:p>
        </w:tc>
      </w:tr>
      <w:tr w:rsidR="00907B1E" w:rsidRPr="007F2D4C" w14:paraId="63B17D21"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51D1C87" w14:textId="77777777" w:rsidR="00907B1E" w:rsidRPr="007F2D4C" w:rsidRDefault="00907B1E">
            <w:pPr>
              <w:jc w:val="center"/>
              <w:rPr>
                <w:sz w:val="20"/>
                <w:szCs w:val="20"/>
              </w:rPr>
            </w:pPr>
            <w:r w:rsidRPr="007F2D4C">
              <w:rPr>
                <w:sz w:val="20"/>
                <w:szCs w:val="20"/>
              </w:rPr>
              <w:t>4.</w:t>
            </w:r>
          </w:p>
        </w:tc>
        <w:tc>
          <w:tcPr>
            <w:tcW w:w="3144" w:type="dxa"/>
            <w:tcBorders>
              <w:top w:val="single" w:sz="4" w:space="0" w:color="auto"/>
              <w:left w:val="nil"/>
              <w:bottom w:val="nil"/>
              <w:right w:val="single" w:sz="4" w:space="0" w:color="auto"/>
            </w:tcBorders>
            <w:shd w:val="clear" w:color="auto" w:fill="auto"/>
            <w:noWrap/>
            <w:vAlign w:val="center"/>
            <w:hideMark/>
          </w:tcPr>
          <w:p w14:paraId="48DC0DB5" w14:textId="77777777" w:rsidR="00907B1E" w:rsidRPr="007F2D4C" w:rsidRDefault="00907B1E">
            <w:pPr>
              <w:rPr>
                <w:sz w:val="20"/>
                <w:szCs w:val="20"/>
              </w:rPr>
            </w:pPr>
            <w:r w:rsidRPr="007F2D4C">
              <w:rPr>
                <w:sz w:val="20"/>
                <w:szCs w:val="20"/>
              </w:rPr>
              <w:t>HŽ Putnički prijevoz F-009-13 preuzeto 2015.</w:t>
            </w:r>
          </w:p>
        </w:tc>
        <w:tc>
          <w:tcPr>
            <w:tcW w:w="1134" w:type="dxa"/>
            <w:tcBorders>
              <w:top w:val="single" w:sz="4" w:space="0" w:color="auto"/>
              <w:left w:val="nil"/>
              <w:bottom w:val="nil"/>
              <w:right w:val="single" w:sz="4" w:space="0" w:color="auto"/>
            </w:tcBorders>
            <w:shd w:val="clear" w:color="auto" w:fill="auto"/>
            <w:noWrap/>
            <w:vAlign w:val="center"/>
            <w:hideMark/>
          </w:tcPr>
          <w:p w14:paraId="3D06A81A" w14:textId="77777777" w:rsidR="00907B1E" w:rsidRPr="007F2D4C" w:rsidRDefault="00907B1E">
            <w:pPr>
              <w:jc w:val="center"/>
              <w:rPr>
                <w:sz w:val="20"/>
                <w:szCs w:val="20"/>
              </w:rPr>
            </w:pPr>
            <w:r w:rsidRPr="007F2D4C">
              <w:rPr>
                <w:sz w:val="20"/>
                <w:szCs w:val="20"/>
              </w:rPr>
              <w:t>PBZ</w:t>
            </w:r>
          </w:p>
        </w:tc>
        <w:tc>
          <w:tcPr>
            <w:tcW w:w="851" w:type="dxa"/>
            <w:tcBorders>
              <w:top w:val="single" w:sz="4" w:space="0" w:color="auto"/>
              <w:left w:val="nil"/>
              <w:bottom w:val="nil"/>
              <w:right w:val="single" w:sz="4" w:space="0" w:color="auto"/>
            </w:tcBorders>
            <w:shd w:val="clear" w:color="auto" w:fill="auto"/>
            <w:noWrap/>
            <w:vAlign w:val="center"/>
            <w:hideMark/>
          </w:tcPr>
          <w:p w14:paraId="436BD4FF" w14:textId="77777777" w:rsidR="00907B1E" w:rsidRPr="007F2D4C" w:rsidRDefault="00907B1E">
            <w:pPr>
              <w:jc w:val="center"/>
              <w:rPr>
                <w:sz w:val="20"/>
                <w:szCs w:val="20"/>
              </w:rPr>
            </w:pPr>
            <w:r w:rsidRPr="007F2D4C">
              <w:rPr>
                <w:sz w:val="20"/>
                <w:szCs w:val="20"/>
              </w:rPr>
              <w:t>EUR</w:t>
            </w:r>
          </w:p>
        </w:tc>
        <w:tc>
          <w:tcPr>
            <w:tcW w:w="1842" w:type="dxa"/>
            <w:tcBorders>
              <w:top w:val="single" w:sz="4" w:space="0" w:color="auto"/>
              <w:left w:val="nil"/>
              <w:bottom w:val="nil"/>
              <w:right w:val="single" w:sz="4" w:space="0" w:color="auto"/>
            </w:tcBorders>
            <w:shd w:val="clear" w:color="auto" w:fill="auto"/>
            <w:noWrap/>
            <w:vAlign w:val="center"/>
            <w:hideMark/>
          </w:tcPr>
          <w:p w14:paraId="1AD71587" w14:textId="77777777" w:rsidR="00907B1E" w:rsidRPr="007F2D4C" w:rsidRDefault="00907B1E">
            <w:pPr>
              <w:jc w:val="right"/>
              <w:rPr>
                <w:sz w:val="20"/>
                <w:szCs w:val="20"/>
              </w:rPr>
            </w:pPr>
            <w:r w:rsidRPr="007F2D4C">
              <w:rPr>
                <w:sz w:val="20"/>
                <w:szCs w:val="20"/>
              </w:rPr>
              <w:t>11.796.626,70</w:t>
            </w:r>
          </w:p>
        </w:tc>
        <w:tc>
          <w:tcPr>
            <w:tcW w:w="1843" w:type="dxa"/>
            <w:tcBorders>
              <w:top w:val="nil"/>
              <w:left w:val="nil"/>
              <w:bottom w:val="single" w:sz="4" w:space="0" w:color="auto"/>
              <w:right w:val="single" w:sz="4" w:space="0" w:color="auto"/>
            </w:tcBorders>
            <w:shd w:val="clear" w:color="auto" w:fill="auto"/>
            <w:noWrap/>
            <w:vAlign w:val="center"/>
            <w:hideMark/>
          </w:tcPr>
          <w:p w14:paraId="48619C2E" w14:textId="77777777" w:rsidR="00907B1E" w:rsidRPr="007F2D4C" w:rsidRDefault="00907B1E">
            <w:pPr>
              <w:jc w:val="right"/>
              <w:rPr>
                <w:sz w:val="20"/>
                <w:szCs w:val="20"/>
              </w:rPr>
            </w:pPr>
            <w:r w:rsidRPr="007F2D4C">
              <w:rPr>
                <w:sz w:val="20"/>
                <w:szCs w:val="20"/>
              </w:rPr>
              <w:t>88.677.248,33</w:t>
            </w:r>
          </w:p>
        </w:tc>
      </w:tr>
      <w:tr w:rsidR="00907B1E" w:rsidRPr="007F2D4C" w14:paraId="5A0EF2E7"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B1A54D3" w14:textId="77777777" w:rsidR="00907B1E" w:rsidRPr="007F2D4C" w:rsidRDefault="00907B1E">
            <w:pPr>
              <w:jc w:val="center"/>
              <w:rPr>
                <w:sz w:val="20"/>
                <w:szCs w:val="20"/>
              </w:rPr>
            </w:pPr>
            <w:r w:rsidRPr="007F2D4C">
              <w:rPr>
                <w:sz w:val="20"/>
                <w:szCs w:val="20"/>
              </w:rPr>
              <w:t>5.</w:t>
            </w:r>
          </w:p>
        </w:tc>
        <w:tc>
          <w:tcPr>
            <w:tcW w:w="3144" w:type="dxa"/>
            <w:tcBorders>
              <w:top w:val="single" w:sz="4" w:space="0" w:color="auto"/>
              <w:left w:val="nil"/>
              <w:bottom w:val="nil"/>
              <w:right w:val="single" w:sz="4" w:space="0" w:color="auto"/>
            </w:tcBorders>
            <w:shd w:val="clear" w:color="auto" w:fill="auto"/>
            <w:noWrap/>
            <w:vAlign w:val="center"/>
            <w:hideMark/>
          </w:tcPr>
          <w:p w14:paraId="2C34E378" w14:textId="77777777" w:rsidR="00907B1E" w:rsidRPr="007F2D4C" w:rsidRDefault="00907B1E">
            <w:pPr>
              <w:rPr>
                <w:sz w:val="20"/>
                <w:szCs w:val="20"/>
              </w:rPr>
            </w:pPr>
            <w:r w:rsidRPr="007F2D4C">
              <w:rPr>
                <w:sz w:val="20"/>
                <w:szCs w:val="20"/>
              </w:rPr>
              <w:t xml:space="preserve">ERSTE EUR 150 </w:t>
            </w:r>
            <w:proofErr w:type="spellStart"/>
            <w:r w:rsidRPr="007F2D4C">
              <w:rPr>
                <w:sz w:val="20"/>
                <w:szCs w:val="20"/>
              </w:rPr>
              <w:t>mil</w:t>
            </w:r>
            <w:proofErr w:type="spellEnd"/>
            <w:r w:rsidRPr="007F2D4C">
              <w:rPr>
                <w:sz w:val="20"/>
                <w:szCs w:val="20"/>
              </w:rPr>
              <w:t>. 2016</w:t>
            </w:r>
          </w:p>
        </w:tc>
        <w:tc>
          <w:tcPr>
            <w:tcW w:w="1134" w:type="dxa"/>
            <w:tcBorders>
              <w:top w:val="single" w:sz="4" w:space="0" w:color="auto"/>
              <w:left w:val="nil"/>
              <w:bottom w:val="nil"/>
              <w:right w:val="single" w:sz="4" w:space="0" w:color="auto"/>
            </w:tcBorders>
            <w:shd w:val="clear" w:color="auto" w:fill="auto"/>
            <w:noWrap/>
            <w:vAlign w:val="center"/>
            <w:hideMark/>
          </w:tcPr>
          <w:p w14:paraId="04072AA5" w14:textId="77777777" w:rsidR="00907B1E" w:rsidRPr="007F2D4C" w:rsidRDefault="00907B1E">
            <w:pPr>
              <w:jc w:val="center"/>
              <w:rPr>
                <w:sz w:val="20"/>
                <w:szCs w:val="20"/>
              </w:rPr>
            </w:pPr>
            <w:r w:rsidRPr="007F2D4C">
              <w:rPr>
                <w:sz w:val="20"/>
                <w:szCs w:val="20"/>
              </w:rPr>
              <w:t xml:space="preserve">Erste </w:t>
            </w:r>
            <w:proofErr w:type="spellStart"/>
            <w:r w:rsidRPr="007F2D4C">
              <w:rPr>
                <w:sz w:val="20"/>
                <w:szCs w:val="20"/>
              </w:rPr>
              <w:t>bank</w:t>
            </w:r>
            <w:proofErr w:type="spellEnd"/>
            <w:r w:rsidRPr="007F2D4C">
              <w:rPr>
                <w:sz w:val="20"/>
                <w:szCs w:val="20"/>
              </w:rPr>
              <w:t xml:space="preserve"> </w:t>
            </w:r>
          </w:p>
        </w:tc>
        <w:tc>
          <w:tcPr>
            <w:tcW w:w="851" w:type="dxa"/>
            <w:tcBorders>
              <w:top w:val="single" w:sz="4" w:space="0" w:color="auto"/>
              <w:left w:val="nil"/>
              <w:bottom w:val="nil"/>
              <w:right w:val="single" w:sz="4" w:space="0" w:color="auto"/>
            </w:tcBorders>
            <w:shd w:val="clear" w:color="auto" w:fill="auto"/>
            <w:noWrap/>
            <w:vAlign w:val="center"/>
            <w:hideMark/>
          </w:tcPr>
          <w:p w14:paraId="21FBAA53" w14:textId="77777777" w:rsidR="00907B1E" w:rsidRPr="007F2D4C" w:rsidRDefault="00907B1E">
            <w:pPr>
              <w:jc w:val="center"/>
              <w:rPr>
                <w:sz w:val="20"/>
                <w:szCs w:val="20"/>
              </w:rPr>
            </w:pPr>
            <w:r w:rsidRPr="007F2D4C">
              <w:rPr>
                <w:sz w:val="20"/>
                <w:szCs w:val="20"/>
              </w:rPr>
              <w:t>EUR</w:t>
            </w:r>
          </w:p>
        </w:tc>
        <w:tc>
          <w:tcPr>
            <w:tcW w:w="1842" w:type="dxa"/>
            <w:tcBorders>
              <w:top w:val="single" w:sz="4" w:space="0" w:color="auto"/>
              <w:left w:val="nil"/>
              <w:bottom w:val="nil"/>
              <w:right w:val="single" w:sz="4" w:space="0" w:color="auto"/>
            </w:tcBorders>
            <w:shd w:val="clear" w:color="auto" w:fill="auto"/>
            <w:noWrap/>
            <w:vAlign w:val="center"/>
            <w:hideMark/>
          </w:tcPr>
          <w:p w14:paraId="4EC1F656" w14:textId="77777777" w:rsidR="00907B1E" w:rsidRPr="007F2D4C" w:rsidRDefault="00907B1E">
            <w:pPr>
              <w:jc w:val="right"/>
              <w:rPr>
                <w:sz w:val="20"/>
                <w:szCs w:val="20"/>
              </w:rPr>
            </w:pPr>
            <w:r w:rsidRPr="007F2D4C">
              <w:rPr>
                <w:sz w:val="20"/>
                <w:szCs w:val="20"/>
              </w:rPr>
              <w:t>150.000.000,00</w:t>
            </w:r>
          </w:p>
        </w:tc>
        <w:tc>
          <w:tcPr>
            <w:tcW w:w="1843" w:type="dxa"/>
            <w:tcBorders>
              <w:top w:val="nil"/>
              <w:left w:val="nil"/>
              <w:bottom w:val="single" w:sz="4" w:space="0" w:color="auto"/>
              <w:right w:val="single" w:sz="4" w:space="0" w:color="auto"/>
            </w:tcBorders>
            <w:shd w:val="clear" w:color="auto" w:fill="auto"/>
            <w:noWrap/>
            <w:vAlign w:val="center"/>
            <w:hideMark/>
          </w:tcPr>
          <w:p w14:paraId="02142653" w14:textId="77777777" w:rsidR="00907B1E" w:rsidRPr="007F2D4C" w:rsidRDefault="00907B1E">
            <w:pPr>
              <w:jc w:val="right"/>
              <w:rPr>
                <w:sz w:val="20"/>
                <w:szCs w:val="20"/>
              </w:rPr>
            </w:pPr>
            <w:r w:rsidRPr="007F2D4C">
              <w:rPr>
                <w:sz w:val="20"/>
                <w:szCs w:val="20"/>
              </w:rPr>
              <w:t>1.127.575.500,00</w:t>
            </w:r>
          </w:p>
        </w:tc>
      </w:tr>
      <w:tr w:rsidR="00907B1E" w:rsidRPr="007F2D4C" w14:paraId="41ED2653"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A895CF8" w14:textId="77777777" w:rsidR="00907B1E" w:rsidRPr="007F2D4C" w:rsidRDefault="00907B1E">
            <w:pPr>
              <w:jc w:val="center"/>
              <w:rPr>
                <w:sz w:val="20"/>
                <w:szCs w:val="20"/>
              </w:rPr>
            </w:pPr>
            <w:r w:rsidRPr="007F2D4C">
              <w:rPr>
                <w:sz w:val="20"/>
                <w:szCs w:val="20"/>
              </w:rPr>
              <w:t>6.</w:t>
            </w:r>
          </w:p>
        </w:tc>
        <w:tc>
          <w:tcPr>
            <w:tcW w:w="3144" w:type="dxa"/>
            <w:tcBorders>
              <w:top w:val="single" w:sz="4" w:space="0" w:color="auto"/>
              <w:left w:val="nil"/>
              <w:bottom w:val="nil"/>
              <w:right w:val="single" w:sz="4" w:space="0" w:color="auto"/>
            </w:tcBorders>
            <w:shd w:val="clear" w:color="auto" w:fill="auto"/>
            <w:noWrap/>
            <w:vAlign w:val="center"/>
            <w:hideMark/>
          </w:tcPr>
          <w:p w14:paraId="52C0406D" w14:textId="77777777" w:rsidR="00907B1E" w:rsidRPr="007F2D4C" w:rsidRDefault="00907B1E">
            <w:pPr>
              <w:rPr>
                <w:sz w:val="20"/>
                <w:szCs w:val="20"/>
              </w:rPr>
            </w:pPr>
            <w:r w:rsidRPr="007F2D4C">
              <w:rPr>
                <w:sz w:val="20"/>
                <w:szCs w:val="20"/>
              </w:rPr>
              <w:t xml:space="preserve">ZABA HRK 1 </w:t>
            </w:r>
            <w:proofErr w:type="spellStart"/>
            <w:r w:rsidRPr="007F2D4C">
              <w:rPr>
                <w:sz w:val="20"/>
                <w:szCs w:val="20"/>
              </w:rPr>
              <w:t>mlrd</w:t>
            </w:r>
            <w:proofErr w:type="spellEnd"/>
            <w:r w:rsidRPr="007F2D4C">
              <w:rPr>
                <w:sz w:val="20"/>
                <w:szCs w:val="20"/>
              </w:rPr>
              <w:t>. D-2023</w:t>
            </w:r>
          </w:p>
        </w:tc>
        <w:tc>
          <w:tcPr>
            <w:tcW w:w="1134" w:type="dxa"/>
            <w:tcBorders>
              <w:top w:val="single" w:sz="4" w:space="0" w:color="auto"/>
              <w:left w:val="nil"/>
              <w:bottom w:val="nil"/>
              <w:right w:val="single" w:sz="4" w:space="0" w:color="auto"/>
            </w:tcBorders>
            <w:shd w:val="clear" w:color="auto" w:fill="auto"/>
            <w:noWrap/>
            <w:vAlign w:val="center"/>
            <w:hideMark/>
          </w:tcPr>
          <w:p w14:paraId="3474877D" w14:textId="77777777" w:rsidR="00907B1E" w:rsidRPr="007F2D4C" w:rsidRDefault="00907B1E">
            <w:pPr>
              <w:jc w:val="center"/>
              <w:rPr>
                <w:sz w:val="20"/>
                <w:szCs w:val="20"/>
              </w:rPr>
            </w:pPr>
            <w:r w:rsidRPr="007F2D4C">
              <w:rPr>
                <w:sz w:val="20"/>
                <w:szCs w:val="20"/>
              </w:rPr>
              <w:t>ZABA</w:t>
            </w:r>
          </w:p>
        </w:tc>
        <w:tc>
          <w:tcPr>
            <w:tcW w:w="851" w:type="dxa"/>
            <w:tcBorders>
              <w:top w:val="single" w:sz="4" w:space="0" w:color="auto"/>
              <w:left w:val="nil"/>
              <w:bottom w:val="nil"/>
              <w:right w:val="single" w:sz="4" w:space="0" w:color="auto"/>
            </w:tcBorders>
            <w:shd w:val="clear" w:color="auto" w:fill="auto"/>
            <w:noWrap/>
            <w:vAlign w:val="center"/>
            <w:hideMark/>
          </w:tcPr>
          <w:p w14:paraId="757EA3D8" w14:textId="77777777" w:rsidR="00907B1E" w:rsidRPr="007F2D4C" w:rsidRDefault="00907B1E">
            <w:pPr>
              <w:jc w:val="center"/>
              <w:rPr>
                <w:sz w:val="20"/>
                <w:szCs w:val="20"/>
              </w:rPr>
            </w:pPr>
            <w:r w:rsidRPr="007F2D4C">
              <w:rPr>
                <w:sz w:val="20"/>
                <w:szCs w:val="20"/>
              </w:rPr>
              <w:t>HRK</w:t>
            </w:r>
          </w:p>
        </w:tc>
        <w:tc>
          <w:tcPr>
            <w:tcW w:w="1842" w:type="dxa"/>
            <w:tcBorders>
              <w:top w:val="single" w:sz="4" w:space="0" w:color="auto"/>
              <w:left w:val="nil"/>
              <w:bottom w:val="nil"/>
              <w:right w:val="single" w:sz="4" w:space="0" w:color="auto"/>
            </w:tcBorders>
            <w:shd w:val="clear" w:color="auto" w:fill="auto"/>
            <w:noWrap/>
            <w:vAlign w:val="center"/>
            <w:hideMark/>
          </w:tcPr>
          <w:p w14:paraId="166082B8" w14:textId="77777777" w:rsidR="00907B1E" w:rsidRPr="007F2D4C" w:rsidRDefault="00907B1E">
            <w:pPr>
              <w:jc w:val="right"/>
              <w:rPr>
                <w:sz w:val="20"/>
                <w:szCs w:val="20"/>
              </w:rPr>
            </w:pPr>
            <w:r w:rsidRPr="007F2D4C">
              <w:rPr>
                <w:sz w:val="20"/>
                <w:szCs w:val="20"/>
              </w:rPr>
              <w:t>300.000.000,00</w:t>
            </w:r>
          </w:p>
        </w:tc>
        <w:tc>
          <w:tcPr>
            <w:tcW w:w="1843" w:type="dxa"/>
            <w:tcBorders>
              <w:top w:val="nil"/>
              <w:left w:val="nil"/>
              <w:bottom w:val="single" w:sz="4" w:space="0" w:color="auto"/>
              <w:right w:val="single" w:sz="4" w:space="0" w:color="auto"/>
            </w:tcBorders>
            <w:shd w:val="clear" w:color="auto" w:fill="auto"/>
            <w:noWrap/>
            <w:vAlign w:val="center"/>
            <w:hideMark/>
          </w:tcPr>
          <w:p w14:paraId="0F837A07" w14:textId="77777777" w:rsidR="00907B1E" w:rsidRPr="007F2D4C" w:rsidRDefault="00907B1E">
            <w:pPr>
              <w:jc w:val="right"/>
              <w:rPr>
                <w:sz w:val="20"/>
                <w:szCs w:val="20"/>
              </w:rPr>
            </w:pPr>
            <w:r w:rsidRPr="007F2D4C">
              <w:rPr>
                <w:sz w:val="20"/>
                <w:szCs w:val="20"/>
              </w:rPr>
              <w:t>300.000.000,00</w:t>
            </w:r>
          </w:p>
        </w:tc>
      </w:tr>
      <w:tr w:rsidR="00907B1E" w:rsidRPr="007F2D4C" w14:paraId="300A40FA"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41E41871" w14:textId="77777777" w:rsidR="00907B1E" w:rsidRPr="007F2D4C" w:rsidRDefault="00907B1E">
            <w:pPr>
              <w:jc w:val="center"/>
              <w:rPr>
                <w:sz w:val="20"/>
                <w:szCs w:val="20"/>
              </w:rPr>
            </w:pPr>
            <w:r w:rsidRPr="007F2D4C">
              <w:rPr>
                <w:sz w:val="20"/>
                <w:szCs w:val="20"/>
              </w:rPr>
              <w:t>7.</w:t>
            </w:r>
          </w:p>
        </w:tc>
        <w:tc>
          <w:tcPr>
            <w:tcW w:w="3144" w:type="dxa"/>
            <w:tcBorders>
              <w:top w:val="single" w:sz="4" w:space="0" w:color="auto"/>
              <w:left w:val="nil"/>
              <w:bottom w:val="single" w:sz="4" w:space="0" w:color="auto"/>
              <w:right w:val="single" w:sz="4" w:space="0" w:color="auto"/>
            </w:tcBorders>
            <w:shd w:val="clear" w:color="auto" w:fill="auto"/>
            <w:noWrap/>
            <w:vAlign w:val="center"/>
            <w:hideMark/>
          </w:tcPr>
          <w:p w14:paraId="668A7C2B" w14:textId="77777777" w:rsidR="00907B1E" w:rsidRPr="007F2D4C" w:rsidRDefault="00907B1E">
            <w:pPr>
              <w:rPr>
                <w:sz w:val="20"/>
                <w:szCs w:val="20"/>
              </w:rPr>
            </w:pPr>
            <w:r w:rsidRPr="007F2D4C">
              <w:rPr>
                <w:sz w:val="20"/>
                <w:szCs w:val="20"/>
              </w:rPr>
              <w:t xml:space="preserve">ERSTE EUR 150 </w:t>
            </w:r>
            <w:proofErr w:type="spellStart"/>
            <w:r w:rsidRPr="007F2D4C">
              <w:rPr>
                <w:sz w:val="20"/>
                <w:szCs w:val="20"/>
              </w:rPr>
              <w:t>mil</w:t>
            </w:r>
            <w:proofErr w:type="spellEnd"/>
            <w:r w:rsidRPr="007F2D4C">
              <w:rPr>
                <w:sz w:val="20"/>
                <w:szCs w:val="20"/>
              </w:rPr>
              <w:t>. 2018 D-2023</w:t>
            </w:r>
          </w:p>
        </w:tc>
        <w:tc>
          <w:tcPr>
            <w:tcW w:w="1134" w:type="dxa"/>
            <w:tcBorders>
              <w:top w:val="single" w:sz="4" w:space="0" w:color="auto"/>
              <w:left w:val="nil"/>
              <w:bottom w:val="nil"/>
              <w:right w:val="single" w:sz="4" w:space="0" w:color="auto"/>
            </w:tcBorders>
            <w:shd w:val="clear" w:color="auto" w:fill="auto"/>
            <w:noWrap/>
            <w:vAlign w:val="center"/>
            <w:hideMark/>
          </w:tcPr>
          <w:p w14:paraId="69CA64A5" w14:textId="77777777" w:rsidR="00907B1E" w:rsidRPr="007F2D4C" w:rsidRDefault="00907B1E">
            <w:pPr>
              <w:jc w:val="center"/>
              <w:rPr>
                <w:sz w:val="20"/>
                <w:szCs w:val="20"/>
              </w:rPr>
            </w:pPr>
            <w:r w:rsidRPr="007F2D4C">
              <w:rPr>
                <w:sz w:val="20"/>
                <w:szCs w:val="20"/>
              </w:rPr>
              <w:t xml:space="preserve">Erste </w:t>
            </w:r>
            <w:proofErr w:type="spellStart"/>
            <w:r w:rsidRPr="007F2D4C">
              <w:rPr>
                <w:sz w:val="20"/>
                <w:szCs w:val="20"/>
              </w:rPr>
              <w:t>bank</w:t>
            </w:r>
            <w:proofErr w:type="spellEnd"/>
            <w:r w:rsidRPr="007F2D4C">
              <w:rPr>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8404C8" w14:textId="77777777" w:rsidR="00907B1E" w:rsidRPr="007F2D4C" w:rsidRDefault="00907B1E">
            <w:pPr>
              <w:jc w:val="center"/>
              <w:rPr>
                <w:sz w:val="20"/>
                <w:szCs w:val="20"/>
              </w:rPr>
            </w:pPr>
            <w:r w:rsidRPr="007F2D4C">
              <w:rPr>
                <w:sz w:val="20"/>
                <w:szCs w:val="20"/>
              </w:rPr>
              <w:t>EUR</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7B82348" w14:textId="77777777" w:rsidR="00907B1E" w:rsidRPr="007F2D4C" w:rsidRDefault="00907B1E">
            <w:pPr>
              <w:jc w:val="right"/>
              <w:rPr>
                <w:sz w:val="20"/>
                <w:szCs w:val="20"/>
              </w:rPr>
            </w:pPr>
            <w:r w:rsidRPr="007F2D4C">
              <w:rPr>
                <w:sz w:val="20"/>
                <w:szCs w:val="20"/>
              </w:rPr>
              <w:t>60.000.000,00</w:t>
            </w:r>
          </w:p>
        </w:tc>
        <w:tc>
          <w:tcPr>
            <w:tcW w:w="1843" w:type="dxa"/>
            <w:tcBorders>
              <w:top w:val="nil"/>
              <w:left w:val="nil"/>
              <w:bottom w:val="single" w:sz="4" w:space="0" w:color="auto"/>
              <w:right w:val="single" w:sz="4" w:space="0" w:color="auto"/>
            </w:tcBorders>
            <w:shd w:val="clear" w:color="auto" w:fill="auto"/>
            <w:noWrap/>
            <w:vAlign w:val="center"/>
            <w:hideMark/>
          </w:tcPr>
          <w:p w14:paraId="5E2E4497" w14:textId="77777777" w:rsidR="00907B1E" w:rsidRPr="007F2D4C" w:rsidRDefault="00907B1E">
            <w:pPr>
              <w:jc w:val="right"/>
              <w:rPr>
                <w:sz w:val="20"/>
                <w:szCs w:val="20"/>
              </w:rPr>
            </w:pPr>
            <w:r w:rsidRPr="007F2D4C">
              <w:rPr>
                <w:sz w:val="20"/>
                <w:szCs w:val="20"/>
              </w:rPr>
              <w:t>451.030.200,00</w:t>
            </w:r>
          </w:p>
        </w:tc>
      </w:tr>
      <w:tr w:rsidR="00907B1E" w:rsidRPr="007F2D4C" w14:paraId="551FC13E"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46B94C9" w14:textId="77777777" w:rsidR="00907B1E" w:rsidRPr="007F2D4C" w:rsidRDefault="00907B1E">
            <w:pPr>
              <w:jc w:val="center"/>
              <w:rPr>
                <w:sz w:val="20"/>
                <w:szCs w:val="20"/>
              </w:rPr>
            </w:pPr>
            <w:r w:rsidRPr="007F2D4C">
              <w:rPr>
                <w:sz w:val="20"/>
                <w:szCs w:val="20"/>
              </w:rPr>
              <w:t>8.</w:t>
            </w:r>
          </w:p>
        </w:tc>
        <w:tc>
          <w:tcPr>
            <w:tcW w:w="3144" w:type="dxa"/>
            <w:tcBorders>
              <w:top w:val="nil"/>
              <w:left w:val="nil"/>
              <w:bottom w:val="single" w:sz="4" w:space="0" w:color="auto"/>
              <w:right w:val="single" w:sz="4" w:space="0" w:color="auto"/>
            </w:tcBorders>
            <w:shd w:val="clear" w:color="auto" w:fill="auto"/>
            <w:noWrap/>
            <w:vAlign w:val="center"/>
            <w:hideMark/>
          </w:tcPr>
          <w:p w14:paraId="7E378DF3" w14:textId="77777777" w:rsidR="00907B1E" w:rsidRPr="007F2D4C" w:rsidRDefault="00907B1E">
            <w:pPr>
              <w:rPr>
                <w:sz w:val="20"/>
                <w:szCs w:val="20"/>
              </w:rPr>
            </w:pPr>
            <w:r w:rsidRPr="007F2D4C">
              <w:rPr>
                <w:sz w:val="20"/>
                <w:szCs w:val="20"/>
              </w:rPr>
              <w:t xml:space="preserve">PBZ EUR 100 </w:t>
            </w:r>
            <w:proofErr w:type="spellStart"/>
            <w:r w:rsidRPr="007F2D4C">
              <w:rPr>
                <w:sz w:val="20"/>
                <w:szCs w:val="20"/>
              </w:rPr>
              <w:t>mil</w:t>
            </w:r>
            <w:proofErr w:type="spellEnd"/>
            <w:r w:rsidRPr="007F2D4C">
              <w:rPr>
                <w:sz w:val="20"/>
                <w:szCs w:val="20"/>
              </w:rPr>
              <w:t>. 2018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4DA68E" w14:textId="77777777" w:rsidR="00907B1E" w:rsidRPr="007F2D4C" w:rsidRDefault="00907B1E">
            <w:pPr>
              <w:jc w:val="center"/>
              <w:rPr>
                <w:sz w:val="20"/>
                <w:szCs w:val="20"/>
              </w:rPr>
            </w:pPr>
            <w:r w:rsidRPr="007F2D4C">
              <w:rPr>
                <w:sz w:val="20"/>
                <w:szCs w:val="20"/>
              </w:rPr>
              <w:t>PBZ</w:t>
            </w:r>
          </w:p>
        </w:tc>
        <w:tc>
          <w:tcPr>
            <w:tcW w:w="851" w:type="dxa"/>
            <w:tcBorders>
              <w:top w:val="nil"/>
              <w:left w:val="nil"/>
              <w:bottom w:val="single" w:sz="4" w:space="0" w:color="auto"/>
              <w:right w:val="single" w:sz="4" w:space="0" w:color="auto"/>
            </w:tcBorders>
            <w:shd w:val="clear" w:color="auto" w:fill="auto"/>
            <w:noWrap/>
            <w:vAlign w:val="center"/>
            <w:hideMark/>
          </w:tcPr>
          <w:p w14:paraId="21FB520E" w14:textId="77777777" w:rsidR="00907B1E" w:rsidRPr="007F2D4C" w:rsidRDefault="00907B1E">
            <w:pPr>
              <w:jc w:val="center"/>
              <w:rPr>
                <w:sz w:val="20"/>
                <w:szCs w:val="20"/>
              </w:rPr>
            </w:pPr>
            <w:r w:rsidRPr="007F2D4C">
              <w:rPr>
                <w:sz w:val="20"/>
                <w:szCs w:val="20"/>
              </w:rPr>
              <w:t>EUR</w:t>
            </w:r>
          </w:p>
        </w:tc>
        <w:tc>
          <w:tcPr>
            <w:tcW w:w="1842" w:type="dxa"/>
            <w:tcBorders>
              <w:top w:val="nil"/>
              <w:left w:val="nil"/>
              <w:bottom w:val="single" w:sz="4" w:space="0" w:color="auto"/>
              <w:right w:val="single" w:sz="4" w:space="0" w:color="auto"/>
            </w:tcBorders>
            <w:shd w:val="clear" w:color="auto" w:fill="auto"/>
            <w:noWrap/>
            <w:vAlign w:val="center"/>
            <w:hideMark/>
          </w:tcPr>
          <w:p w14:paraId="4187ACF7" w14:textId="77777777" w:rsidR="00907B1E" w:rsidRPr="007F2D4C" w:rsidRDefault="00907B1E">
            <w:pPr>
              <w:jc w:val="right"/>
              <w:rPr>
                <w:sz w:val="20"/>
                <w:szCs w:val="20"/>
              </w:rPr>
            </w:pPr>
            <w:r w:rsidRPr="007F2D4C">
              <w:rPr>
                <w:sz w:val="20"/>
                <w:szCs w:val="20"/>
              </w:rPr>
              <w:t>75.000.000,00</w:t>
            </w:r>
          </w:p>
        </w:tc>
        <w:tc>
          <w:tcPr>
            <w:tcW w:w="1843" w:type="dxa"/>
            <w:tcBorders>
              <w:top w:val="nil"/>
              <w:left w:val="nil"/>
              <w:bottom w:val="single" w:sz="4" w:space="0" w:color="auto"/>
              <w:right w:val="single" w:sz="4" w:space="0" w:color="auto"/>
            </w:tcBorders>
            <w:shd w:val="clear" w:color="auto" w:fill="auto"/>
            <w:noWrap/>
            <w:vAlign w:val="center"/>
            <w:hideMark/>
          </w:tcPr>
          <w:p w14:paraId="0D035D52" w14:textId="77777777" w:rsidR="00907B1E" w:rsidRPr="007F2D4C" w:rsidRDefault="00907B1E">
            <w:pPr>
              <w:jc w:val="right"/>
              <w:rPr>
                <w:sz w:val="20"/>
                <w:szCs w:val="20"/>
              </w:rPr>
            </w:pPr>
            <w:r w:rsidRPr="007F2D4C">
              <w:rPr>
                <w:sz w:val="20"/>
                <w:szCs w:val="20"/>
              </w:rPr>
              <w:t>563.787.750,00</w:t>
            </w:r>
          </w:p>
        </w:tc>
      </w:tr>
      <w:tr w:rsidR="00907B1E" w:rsidRPr="007F2D4C" w14:paraId="04A30B03"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E45590A" w14:textId="77777777" w:rsidR="00907B1E" w:rsidRPr="007F2D4C" w:rsidRDefault="00907B1E">
            <w:pPr>
              <w:jc w:val="center"/>
              <w:rPr>
                <w:sz w:val="20"/>
                <w:szCs w:val="20"/>
              </w:rPr>
            </w:pPr>
            <w:r w:rsidRPr="007F2D4C">
              <w:rPr>
                <w:sz w:val="20"/>
                <w:szCs w:val="20"/>
              </w:rPr>
              <w:t>9.</w:t>
            </w:r>
          </w:p>
        </w:tc>
        <w:tc>
          <w:tcPr>
            <w:tcW w:w="3144" w:type="dxa"/>
            <w:tcBorders>
              <w:top w:val="nil"/>
              <w:left w:val="nil"/>
              <w:bottom w:val="single" w:sz="4" w:space="0" w:color="auto"/>
              <w:right w:val="single" w:sz="4" w:space="0" w:color="auto"/>
            </w:tcBorders>
            <w:shd w:val="clear" w:color="auto" w:fill="auto"/>
            <w:noWrap/>
            <w:vAlign w:val="center"/>
            <w:hideMark/>
          </w:tcPr>
          <w:p w14:paraId="0575B598" w14:textId="77777777" w:rsidR="00907B1E" w:rsidRPr="007F2D4C" w:rsidRDefault="00907B1E">
            <w:pPr>
              <w:rPr>
                <w:sz w:val="20"/>
                <w:szCs w:val="20"/>
              </w:rPr>
            </w:pPr>
            <w:r w:rsidRPr="007F2D4C">
              <w:rPr>
                <w:sz w:val="20"/>
                <w:szCs w:val="20"/>
              </w:rPr>
              <w:t xml:space="preserve">Splitska banka EUR 120 </w:t>
            </w:r>
            <w:proofErr w:type="spellStart"/>
            <w:r w:rsidRPr="007F2D4C">
              <w:rPr>
                <w:sz w:val="20"/>
                <w:szCs w:val="20"/>
              </w:rPr>
              <w:t>mil</w:t>
            </w:r>
            <w:proofErr w:type="spellEnd"/>
            <w:r w:rsidRPr="007F2D4C">
              <w:rPr>
                <w:sz w:val="20"/>
                <w:szCs w:val="20"/>
              </w:rPr>
              <w:t>. D-2023</w:t>
            </w:r>
          </w:p>
        </w:tc>
        <w:tc>
          <w:tcPr>
            <w:tcW w:w="1134" w:type="dxa"/>
            <w:tcBorders>
              <w:top w:val="nil"/>
              <w:left w:val="nil"/>
              <w:bottom w:val="single" w:sz="4" w:space="0" w:color="auto"/>
              <w:right w:val="single" w:sz="4" w:space="0" w:color="auto"/>
            </w:tcBorders>
            <w:shd w:val="clear" w:color="auto" w:fill="auto"/>
            <w:noWrap/>
            <w:vAlign w:val="center"/>
            <w:hideMark/>
          </w:tcPr>
          <w:p w14:paraId="0FC43D59" w14:textId="77777777" w:rsidR="00907B1E" w:rsidRPr="007F2D4C" w:rsidRDefault="00907B1E">
            <w:pPr>
              <w:jc w:val="center"/>
              <w:rPr>
                <w:sz w:val="20"/>
                <w:szCs w:val="20"/>
              </w:rPr>
            </w:pPr>
            <w:r w:rsidRPr="007F2D4C">
              <w:rPr>
                <w:sz w:val="20"/>
                <w:szCs w:val="20"/>
              </w:rPr>
              <w:t>SGS</w:t>
            </w:r>
          </w:p>
        </w:tc>
        <w:tc>
          <w:tcPr>
            <w:tcW w:w="851" w:type="dxa"/>
            <w:tcBorders>
              <w:top w:val="nil"/>
              <w:left w:val="nil"/>
              <w:bottom w:val="single" w:sz="4" w:space="0" w:color="auto"/>
              <w:right w:val="single" w:sz="4" w:space="0" w:color="auto"/>
            </w:tcBorders>
            <w:shd w:val="clear" w:color="auto" w:fill="auto"/>
            <w:noWrap/>
            <w:vAlign w:val="center"/>
            <w:hideMark/>
          </w:tcPr>
          <w:p w14:paraId="76722A7D" w14:textId="77777777" w:rsidR="00907B1E" w:rsidRPr="007F2D4C" w:rsidRDefault="00907B1E">
            <w:pPr>
              <w:jc w:val="center"/>
              <w:rPr>
                <w:sz w:val="20"/>
                <w:szCs w:val="20"/>
              </w:rPr>
            </w:pPr>
            <w:r w:rsidRPr="007F2D4C">
              <w:rPr>
                <w:sz w:val="20"/>
                <w:szCs w:val="20"/>
              </w:rPr>
              <w:t>EUR</w:t>
            </w:r>
          </w:p>
        </w:tc>
        <w:tc>
          <w:tcPr>
            <w:tcW w:w="1842" w:type="dxa"/>
            <w:tcBorders>
              <w:top w:val="nil"/>
              <w:left w:val="nil"/>
              <w:bottom w:val="single" w:sz="4" w:space="0" w:color="auto"/>
              <w:right w:val="single" w:sz="4" w:space="0" w:color="auto"/>
            </w:tcBorders>
            <w:shd w:val="clear" w:color="auto" w:fill="auto"/>
            <w:noWrap/>
            <w:vAlign w:val="center"/>
            <w:hideMark/>
          </w:tcPr>
          <w:p w14:paraId="14D4EF3B" w14:textId="77777777" w:rsidR="00907B1E" w:rsidRPr="007F2D4C" w:rsidRDefault="00907B1E">
            <w:pPr>
              <w:jc w:val="right"/>
              <w:rPr>
                <w:sz w:val="20"/>
                <w:szCs w:val="20"/>
              </w:rPr>
            </w:pPr>
            <w:r w:rsidRPr="007F2D4C">
              <w:rPr>
                <w:sz w:val="20"/>
                <w:szCs w:val="20"/>
              </w:rPr>
              <w:t>120.000.000,00</w:t>
            </w:r>
          </w:p>
        </w:tc>
        <w:tc>
          <w:tcPr>
            <w:tcW w:w="1843" w:type="dxa"/>
            <w:tcBorders>
              <w:top w:val="nil"/>
              <w:left w:val="nil"/>
              <w:bottom w:val="single" w:sz="4" w:space="0" w:color="auto"/>
              <w:right w:val="single" w:sz="4" w:space="0" w:color="auto"/>
            </w:tcBorders>
            <w:shd w:val="clear" w:color="auto" w:fill="auto"/>
            <w:noWrap/>
            <w:vAlign w:val="center"/>
            <w:hideMark/>
          </w:tcPr>
          <w:p w14:paraId="47EA5A9D" w14:textId="77777777" w:rsidR="00907B1E" w:rsidRPr="007F2D4C" w:rsidRDefault="00907B1E">
            <w:pPr>
              <w:jc w:val="right"/>
              <w:rPr>
                <w:sz w:val="20"/>
                <w:szCs w:val="20"/>
              </w:rPr>
            </w:pPr>
            <w:r w:rsidRPr="007F2D4C">
              <w:rPr>
                <w:sz w:val="20"/>
                <w:szCs w:val="20"/>
              </w:rPr>
              <w:t>902.060.400,00</w:t>
            </w:r>
          </w:p>
        </w:tc>
      </w:tr>
      <w:tr w:rsidR="00907B1E" w:rsidRPr="007F2D4C" w14:paraId="14B5ECDC"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7DEA1A9F" w14:textId="77777777" w:rsidR="00907B1E" w:rsidRPr="007F2D4C" w:rsidRDefault="00907B1E">
            <w:pPr>
              <w:jc w:val="center"/>
              <w:rPr>
                <w:sz w:val="20"/>
                <w:szCs w:val="20"/>
              </w:rPr>
            </w:pPr>
            <w:r w:rsidRPr="007F2D4C">
              <w:rPr>
                <w:sz w:val="20"/>
                <w:szCs w:val="20"/>
              </w:rPr>
              <w:t>10.</w:t>
            </w:r>
          </w:p>
        </w:tc>
        <w:tc>
          <w:tcPr>
            <w:tcW w:w="3144" w:type="dxa"/>
            <w:tcBorders>
              <w:top w:val="nil"/>
              <w:left w:val="nil"/>
              <w:bottom w:val="single" w:sz="4" w:space="0" w:color="auto"/>
              <w:right w:val="single" w:sz="4" w:space="0" w:color="auto"/>
            </w:tcBorders>
            <w:shd w:val="clear" w:color="auto" w:fill="auto"/>
            <w:noWrap/>
            <w:vAlign w:val="center"/>
            <w:hideMark/>
          </w:tcPr>
          <w:p w14:paraId="190C503B" w14:textId="77777777" w:rsidR="00907B1E" w:rsidRPr="007F2D4C" w:rsidRDefault="00907B1E">
            <w:pPr>
              <w:rPr>
                <w:sz w:val="20"/>
                <w:szCs w:val="20"/>
              </w:rPr>
            </w:pPr>
            <w:r w:rsidRPr="007F2D4C">
              <w:rPr>
                <w:sz w:val="20"/>
                <w:szCs w:val="20"/>
              </w:rPr>
              <w:t xml:space="preserve">ZABA EUR 200 </w:t>
            </w:r>
            <w:proofErr w:type="spellStart"/>
            <w:r w:rsidRPr="007F2D4C">
              <w:rPr>
                <w:sz w:val="20"/>
                <w:szCs w:val="20"/>
              </w:rPr>
              <w:t>mil</w:t>
            </w:r>
            <w:proofErr w:type="spellEnd"/>
            <w:r w:rsidRPr="007F2D4C">
              <w:rPr>
                <w:sz w:val="20"/>
                <w:szCs w:val="20"/>
              </w:rPr>
              <w:t>. D-2023</w:t>
            </w:r>
          </w:p>
        </w:tc>
        <w:tc>
          <w:tcPr>
            <w:tcW w:w="1134" w:type="dxa"/>
            <w:tcBorders>
              <w:top w:val="nil"/>
              <w:left w:val="nil"/>
              <w:bottom w:val="single" w:sz="4" w:space="0" w:color="auto"/>
              <w:right w:val="single" w:sz="4" w:space="0" w:color="auto"/>
            </w:tcBorders>
            <w:shd w:val="clear" w:color="auto" w:fill="auto"/>
            <w:noWrap/>
            <w:vAlign w:val="center"/>
            <w:hideMark/>
          </w:tcPr>
          <w:p w14:paraId="086EB4B0"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1A1681D5" w14:textId="77777777" w:rsidR="00907B1E" w:rsidRPr="007F2D4C" w:rsidRDefault="00907B1E">
            <w:pPr>
              <w:jc w:val="center"/>
              <w:rPr>
                <w:sz w:val="20"/>
                <w:szCs w:val="20"/>
              </w:rPr>
            </w:pPr>
            <w:r w:rsidRPr="007F2D4C">
              <w:rPr>
                <w:sz w:val="20"/>
                <w:szCs w:val="20"/>
              </w:rPr>
              <w:t>EUR</w:t>
            </w:r>
          </w:p>
        </w:tc>
        <w:tc>
          <w:tcPr>
            <w:tcW w:w="1842" w:type="dxa"/>
            <w:tcBorders>
              <w:top w:val="nil"/>
              <w:left w:val="nil"/>
              <w:bottom w:val="single" w:sz="4" w:space="0" w:color="auto"/>
              <w:right w:val="single" w:sz="4" w:space="0" w:color="auto"/>
            </w:tcBorders>
            <w:shd w:val="clear" w:color="auto" w:fill="auto"/>
            <w:noWrap/>
            <w:vAlign w:val="center"/>
            <w:hideMark/>
          </w:tcPr>
          <w:p w14:paraId="6C7F7D33" w14:textId="77777777" w:rsidR="00907B1E" w:rsidRPr="007F2D4C" w:rsidRDefault="00907B1E">
            <w:pPr>
              <w:jc w:val="right"/>
              <w:rPr>
                <w:sz w:val="20"/>
                <w:szCs w:val="20"/>
              </w:rPr>
            </w:pPr>
            <w:r w:rsidRPr="007F2D4C">
              <w:rPr>
                <w:sz w:val="20"/>
                <w:szCs w:val="20"/>
              </w:rPr>
              <w:t>200.000.000,00</w:t>
            </w:r>
          </w:p>
        </w:tc>
        <w:tc>
          <w:tcPr>
            <w:tcW w:w="1843" w:type="dxa"/>
            <w:tcBorders>
              <w:top w:val="nil"/>
              <w:left w:val="nil"/>
              <w:bottom w:val="single" w:sz="4" w:space="0" w:color="auto"/>
              <w:right w:val="single" w:sz="4" w:space="0" w:color="auto"/>
            </w:tcBorders>
            <w:shd w:val="clear" w:color="auto" w:fill="auto"/>
            <w:noWrap/>
            <w:vAlign w:val="center"/>
            <w:hideMark/>
          </w:tcPr>
          <w:p w14:paraId="71F30FE6" w14:textId="77777777" w:rsidR="00907B1E" w:rsidRPr="007F2D4C" w:rsidRDefault="00907B1E">
            <w:pPr>
              <w:jc w:val="right"/>
              <w:rPr>
                <w:sz w:val="20"/>
                <w:szCs w:val="20"/>
              </w:rPr>
            </w:pPr>
            <w:r w:rsidRPr="007F2D4C">
              <w:rPr>
                <w:sz w:val="20"/>
                <w:szCs w:val="20"/>
              </w:rPr>
              <w:t>1.503.434.000,00</w:t>
            </w:r>
          </w:p>
        </w:tc>
      </w:tr>
      <w:tr w:rsidR="00907B1E" w:rsidRPr="007F2D4C" w14:paraId="5419F752"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24C629B" w14:textId="77777777" w:rsidR="00907B1E" w:rsidRPr="007F2D4C" w:rsidRDefault="00907B1E">
            <w:pPr>
              <w:jc w:val="center"/>
              <w:rPr>
                <w:sz w:val="20"/>
                <w:szCs w:val="20"/>
              </w:rPr>
            </w:pPr>
            <w:r w:rsidRPr="007F2D4C">
              <w:rPr>
                <w:sz w:val="20"/>
                <w:szCs w:val="20"/>
              </w:rPr>
              <w:t>11.</w:t>
            </w:r>
          </w:p>
        </w:tc>
        <w:tc>
          <w:tcPr>
            <w:tcW w:w="3144" w:type="dxa"/>
            <w:tcBorders>
              <w:top w:val="nil"/>
              <w:left w:val="nil"/>
              <w:bottom w:val="single" w:sz="4" w:space="0" w:color="auto"/>
              <w:right w:val="single" w:sz="4" w:space="0" w:color="auto"/>
            </w:tcBorders>
            <w:shd w:val="clear" w:color="auto" w:fill="auto"/>
            <w:noWrap/>
            <w:vAlign w:val="center"/>
            <w:hideMark/>
          </w:tcPr>
          <w:p w14:paraId="676F8E00" w14:textId="77777777" w:rsidR="00907B1E" w:rsidRPr="007F2D4C" w:rsidRDefault="00907B1E">
            <w:pPr>
              <w:rPr>
                <w:sz w:val="20"/>
                <w:szCs w:val="20"/>
              </w:rPr>
            </w:pPr>
            <w:r w:rsidRPr="007F2D4C">
              <w:rPr>
                <w:sz w:val="20"/>
                <w:szCs w:val="20"/>
              </w:rPr>
              <w:t xml:space="preserve">OTP HRK 450 </w:t>
            </w:r>
            <w:proofErr w:type="spellStart"/>
            <w:r w:rsidRPr="007F2D4C">
              <w:rPr>
                <w:sz w:val="20"/>
                <w:szCs w:val="20"/>
              </w:rPr>
              <w:t>mil</w:t>
            </w:r>
            <w:proofErr w:type="spellEnd"/>
            <w:r w:rsidRPr="007F2D4C">
              <w:rPr>
                <w:sz w:val="20"/>
                <w:szCs w:val="20"/>
              </w:rPr>
              <w:t>. D-2022</w:t>
            </w:r>
          </w:p>
        </w:tc>
        <w:tc>
          <w:tcPr>
            <w:tcW w:w="1134" w:type="dxa"/>
            <w:tcBorders>
              <w:top w:val="nil"/>
              <w:left w:val="nil"/>
              <w:bottom w:val="single" w:sz="4" w:space="0" w:color="auto"/>
              <w:right w:val="single" w:sz="4" w:space="0" w:color="auto"/>
            </w:tcBorders>
            <w:shd w:val="clear" w:color="auto" w:fill="auto"/>
            <w:noWrap/>
            <w:vAlign w:val="center"/>
            <w:hideMark/>
          </w:tcPr>
          <w:p w14:paraId="3DA790F5" w14:textId="77777777" w:rsidR="00907B1E" w:rsidRPr="007F2D4C" w:rsidRDefault="00907B1E">
            <w:pPr>
              <w:jc w:val="center"/>
              <w:rPr>
                <w:sz w:val="20"/>
                <w:szCs w:val="20"/>
              </w:rPr>
            </w:pPr>
            <w:r w:rsidRPr="007F2D4C">
              <w:rPr>
                <w:sz w:val="20"/>
                <w:szCs w:val="20"/>
              </w:rPr>
              <w:t>OTP banka</w:t>
            </w:r>
          </w:p>
        </w:tc>
        <w:tc>
          <w:tcPr>
            <w:tcW w:w="851" w:type="dxa"/>
            <w:tcBorders>
              <w:top w:val="nil"/>
              <w:left w:val="nil"/>
              <w:bottom w:val="single" w:sz="4" w:space="0" w:color="auto"/>
              <w:right w:val="single" w:sz="4" w:space="0" w:color="auto"/>
            </w:tcBorders>
            <w:shd w:val="clear" w:color="auto" w:fill="auto"/>
            <w:noWrap/>
            <w:vAlign w:val="center"/>
            <w:hideMark/>
          </w:tcPr>
          <w:p w14:paraId="6070E39D"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65D8EB5B" w14:textId="77777777" w:rsidR="00907B1E" w:rsidRPr="007F2D4C" w:rsidRDefault="00907B1E">
            <w:pPr>
              <w:jc w:val="right"/>
              <w:rPr>
                <w:sz w:val="20"/>
                <w:szCs w:val="20"/>
              </w:rPr>
            </w:pPr>
            <w:r w:rsidRPr="007F2D4C">
              <w:rPr>
                <w:sz w:val="20"/>
                <w:szCs w:val="20"/>
              </w:rPr>
              <w:t>150.000.000,00</w:t>
            </w:r>
          </w:p>
        </w:tc>
        <w:tc>
          <w:tcPr>
            <w:tcW w:w="1843" w:type="dxa"/>
            <w:tcBorders>
              <w:top w:val="nil"/>
              <w:left w:val="nil"/>
              <w:bottom w:val="single" w:sz="4" w:space="0" w:color="auto"/>
              <w:right w:val="single" w:sz="4" w:space="0" w:color="auto"/>
            </w:tcBorders>
            <w:shd w:val="clear" w:color="auto" w:fill="auto"/>
            <w:noWrap/>
            <w:vAlign w:val="center"/>
            <w:hideMark/>
          </w:tcPr>
          <w:p w14:paraId="4DC9DC6C" w14:textId="77777777" w:rsidR="00907B1E" w:rsidRPr="007F2D4C" w:rsidRDefault="00907B1E">
            <w:pPr>
              <w:jc w:val="right"/>
              <w:rPr>
                <w:sz w:val="20"/>
                <w:szCs w:val="20"/>
              </w:rPr>
            </w:pPr>
            <w:r w:rsidRPr="007F2D4C">
              <w:rPr>
                <w:sz w:val="20"/>
                <w:szCs w:val="20"/>
              </w:rPr>
              <w:t>150.000.000,00</w:t>
            </w:r>
          </w:p>
        </w:tc>
      </w:tr>
      <w:tr w:rsidR="00907B1E" w:rsidRPr="007F2D4C" w14:paraId="178F76C8"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331E7B3" w14:textId="77777777" w:rsidR="00907B1E" w:rsidRPr="007F2D4C" w:rsidRDefault="00907B1E">
            <w:pPr>
              <w:jc w:val="center"/>
              <w:rPr>
                <w:sz w:val="20"/>
                <w:szCs w:val="20"/>
              </w:rPr>
            </w:pPr>
            <w:r w:rsidRPr="007F2D4C">
              <w:rPr>
                <w:sz w:val="20"/>
                <w:szCs w:val="20"/>
              </w:rPr>
              <w:t>12.</w:t>
            </w:r>
          </w:p>
        </w:tc>
        <w:tc>
          <w:tcPr>
            <w:tcW w:w="3144" w:type="dxa"/>
            <w:tcBorders>
              <w:top w:val="nil"/>
              <w:left w:val="nil"/>
              <w:bottom w:val="single" w:sz="4" w:space="0" w:color="auto"/>
              <w:right w:val="single" w:sz="4" w:space="0" w:color="auto"/>
            </w:tcBorders>
            <w:shd w:val="clear" w:color="auto" w:fill="auto"/>
            <w:noWrap/>
            <w:vAlign w:val="center"/>
            <w:hideMark/>
          </w:tcPr>
          <w:p w14:paraId="2C926883" w14:textId="77777777" w:rsidR="00907B1E" w:rsidRPr="007F2D4C" w:rsidRDefault="00907B1E">
            <w:pPr>
              <w:rPr>
                <w:sz w:val="20"/>
                <w:szCs w:val="20"/>
              </w:rPr>
            </w:pPr>
            <w:proofErr w:type="spellStart"/>
            <w:r w:rsidRPr="007F2D4C">
              <w:rPr>
                <w:sz w:val="20"/>
                <w:szCs w:val="20"/>
              </w:rPr>
              <w:t>Raiffeisenbank</w:t>
            </w:r>
            <w:proofErr w:type="spellEnd"/>
            <w:r w:rsidRPr="007F2D4C">
              <w:rPr>
                <w:sz w:val="20"/>
                <w:szCs w:val="20"/>
              </w:rPr>
              <w:t xml:space="preserve"> EUR 80 </w:t>
            </w:r>
            <w:proofErr w:type="spellStart"/>
            <w:r w:rsidRPr="007F2D4C">
              <w:rPr>
                <w:sz w:val="20"/>
                <w:szCs w:val="20"/>
              </w:rPr>
              <w:t>mil</w:t>
            </w:r>
            <w:proofErr w:type="spellEnd"/>
            <w:r w:rsidRPr="007F2D4C">
              <w:rPr>
                <w:sz w:val="20"/>
                <w:szCs w:val="20"/>
              </w:rPr>
              <w:t>. D-2022</w:t>
            </w:r>
          </w:p>
        </w:tc>
        <w:tc>
          <w:tcPr>
            <w:tcW w:w="1134" w:type="dxa"/>
            <w:tcBorders>
              <w:top w:val="nil"/>
              <w:left w:val="nil"/>
              <w:bottom w:val="single" w:sz="4" w:space="0" w:color="auto"/>
              <w:right w:val="single" w:sz="4" w:space="0" w:color="auto"/>
            </w:tcBorders>
            <w:shd w:val="clear" w:color="auto" w:fill="auto"/>
            <w:noWrap/>
            <w:vAlign w:val="center"/>
            <w:hideMark/>
          </w:tcPr>
          <w:p w14:paraId="07C0430F" w14:textId="77777777" w:rsidR="00907B1E" w:rsidRPr="007F2D4C" w:rsidRDefault="00907B1E">
            <w:pPr>
              <w:jc w:val="center"/>
              <w:rPr>
                <w:sz w:val="20"/>
                <w:szCs w:val="20"/>
              </w:rPr>
            </w:pPr>
            <w:proofErr w:type="spellStart"/>
            <w:r w:rsidRPr="007F2D4C">
              <w:rPr>
                <w:sz w:val="20"/>
                <w:szCs w:val="20"/>
              </w:rPr>
              <w:t>Raiffeisenbank</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D95C48" w14:textId="77777777" w:rsidR="00907B1E" w:rsidRPr="007F2D4C" w:rsidRDefault="00907B1E">
            <w:pPr>
              <w:jc w:val="center"/>
              <w:rPr>
                <w:sz w:val="20"/>
                <w:szCs w:val="20"/>
              </w:rPr>
            </w:pPr>
            <w:r w:rsidRPr="007F2D4C">
              <w:rPr>
                <w:sz w:val="20"/>
                <w:szCs w:val="20"/>
              </w:rPr>
              <w:t>EUR</w:t>
            </w:r>
          </w:p>
        </w:tc>
        <w:tc>
          <w:tcPr>
            <w:tcW w:w="1842" w:type="dxa"/>
            <w:tcBorders>
              <w:top w:val="nil"/>
              <w:left w:val="nil"/>
              <w:bottom w:val="single" w:sz="4" w:space="0" w:color="auto"/>
              <w:right w:val="single" w:sz="4" w:space="0" w:color="auto"/>
            </w:tcBorders>
            <w:shd w:val="clear" w:color="auto" w:fill="auto"/>
            <w:noWrap/>
            <w:vAlign w:val="center"/>
            <w:hideMark/>
          </w:tcPr>
          <w:p w14:paraId="2EB61B16" w14:textId="77777777" w:rsidR="00907B1E" w:rsidRPr="007F2D4C" w:rsidRDefault="00907B1E">
            <w:pPr>
              <w:jc w:val="right"/>
              <w:rPr>
                <w:sz w:val="20"/>
                <w:szCs w:val="20"/>
              </w:rPr>
            </w:pPr>
            <w:r w:rsidRPr="007F2D4C">
              <w:rPr>
                <w:sz w:val="20"/>
                <w:szCs w:val="20"/>
              </w:rPr>
              <w:t>80.000.000,00</w:t>
            </w:r>
          </w:p>
        </w:tc>
        <w:tc>
          <w:tcPr>
            <w:tcW w:w="1843" w:type="dxa"/>
            <w:tcBorders>
              <w:top w:val="nil"/>
              <w:left w:val="nil"/>
              <w:bottom w:val="single" w:sz="4" w:space="0" w:color="auto"/>
              <w:right w:val="single" w:sz="4" w:space="0" w:color="auto"/>
            </w:tcBorders>
            <w:shd w:val="clear" w:color="auto" w:fill="auto"/>
            <w:noWrap/>
            <w:vAlign w:val="center"/>
            <w:hideMark/>
          </w:tcPr>
          <w:p w14:paraId="1B39E83F" w14:textId="77777777" w:rsidR="00907B1E" w:rsidRPr="007F2D4C" w:rsidRDefault="00907B1E">
            <w:pPr>
              <w:jc w:val="right"/>
              <w:rPr>
                <w:sz w:val="20"/>
                <w:szCs w:val="20"/>
              </w:rPr>
            </w:pPr>
            <w:r w:rsidRPr="007F2D4C">
              <w:rPr>
                <w:sz w:val="20"/>
                <w:szCs w:val="20"/>
              </w:rPr>
              <w:t>601.373.600,00</w:t>
            </w:r>
          </w:p>
        </w:tc>
      </w:tr>
      <w:tr w:rsidR="00907B1E" w:rsidRPr="007F2D4C" w14:paraId="6027A858"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75CC8B7A" w14:textId="77777777" w:rsidR="00907B1E" w:rsidRPr="007F2D4C" w:rsidRDefault="00907B1E">
            <w:pPr>
              <w:jc w:val="center"/>
              <w:rPr>
                <w:sz w:val="20"/>
                <w:szCs w:val="20"/>
              </w:rPr>
            </w:pPr>
            <w:r w:rsidRPr="007F2D4C">
              <w:rPr>
                <w:sz w:val="20"/>
                <w:szCs w:val="20"/>
              </w:rPr>
              <w:t>13.</w:t>
            </w:r>
          </w:p>
        </w:tc>
        <w:tc>
          <w:tcPr>
            <w:tcW w:w="3144" w:type="dxa"/>
            <w:tcBorders>
              <w:top w:val="nil"/>
              <w:left w:val="nil"/>
              <w:bottom w:val="single" w:sz="4" w:space="0" w:color="auto"/>
              <w:right w:val="single" w:sz="4" w:space="0" w:color="auto"/>
            </w:tcBorders>
            <w:shd w:val="clear" w:color="auto" w:fill="auto"/>
            <w:noWrap/>
            <w:vAlign w:val="center"/>
            <w:hideMark/>
          </w:tcPr>
          <w:p w14:paraId="430FC9B2" w14:textId="77777777" w:rsidR="00907B1E" w:rsidRPr="007F2D4C" w:rsidRDefault="00907B1E">
            <w:pPr>
              <w:rPr>
                <w:sz w:val="20"/>
                <w:szCs w:val="20"/>
              </w:rPr>
            </w:pPr>
            <w:r w:rsidRPr="007F2D4C">
              <w:rPr>
                <w:sz w:val="20"/>
                <w:szCs w:val="20"/>
              </w:rPr>
              <w:t xml:space="preserve">ZABA HRK 1,85 </w:t>
            </w:r>
            <w:proofErr w:type="spellStart"/>
            <w:r w:rsidRPr="007F2D4C">
              <w:rPr>
                <w:sz w:val="20"/>
                <w:szCs w:val="20"/>
              </w:rPr>
              <w:t>mlrd</w:t>
            </w:r>
            <w:proofErr w:type="spellEnd"/>
            <w:r w:rsidRPr="007F2D4C">
              <w:rPr>
                <w:sz w:val="20"/>
                <w:szCs w:val="20"/>
              </w:rPr>
              <w:t>. D-2022</w:t>
            </w:r>
          </w:p>
        </w:tc>
        <w:tc>
          <w:tcPr>
            <w:tcW w:w="1134" w:type="dxa"/>
            <w:tcBorders>
              <w:top w:val="nil"/>
              <w:left w:val="nil"/>
              <w:bottom w:val="single" w:sz="4" w:space="0" w:color="auto"/>
              <w:right w:val="single" w:sz="4" w:space="0" w:color="auto"/>
            </w:tcBorders>
            <w:shd w:val="clear" w:color="auto" w:fill="auto"/>
            <w:noWrap/>
            <w:vAlign w:val="center"/>
            <w:hideMark/>
          </w:tcPr>
          <w:p w14:paraId="4FB98D9A"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1C7A21EB"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1473E71A" w14:textId="77777777" w:rsidR="00907B1E" w:rsidRPr="007F2D4C" w:rsidRDefault="00907B1E">
            <w:pPr>
              <w:jc w:val="right"/>
              <w:rPr>
                <w:sz w:val="20"/>
                <w:szCs w:val="20"/>
              </w:rPr>
            </w:pPr>
            <w:r w:rsidRPr="007F2D4C">
              <w:rPr>
                <w:sz w:val="20"/>
                <w:szCs w:val="20"/>
              </w:rPr>
              <w:t>1.850.000.000,00</w:t>
            </w:r>
          </w:p>
        </w:tc>
        <w:tc>
          <w:tcPr>
            <w:tcW w:w="1843" w:type="dxa"/>
            <w:tcBorders>
              <w:top w:val="nil"/>
              <w:left w:val="nil"/>
              <w:bottom w:val="single" w:sz="4" w:space="0" w:color="auto"/>
              <w:right w:val="single" w:sz="4" w:space="0" w:color="auto"/>
            </w:tcBorders>
            <w:shd w:val="clear" w:color="auto" w:fill="auto"/>
            <w:noWrap/>
            <w:vAlign w:val="center"/>
            <w:hideMark/>
          </w:tcPr>
          <w:p w14:paraId="3D7582CC" w14:textId="77777777" w:rsidR="00907B1E" w:rsidRPr="007F2D4C" w:rsidRDefault="00907B1E">
            <w:pPr>
              <w:jc w:val="right"/>
              <w:rPr>
                <w:sz w:val="20"/>
                <w:szCs w:val="20"/>
              </w:rPr>
            </w:pPr>
            <w:r w:rsidRPr="007F2D4C">
              <w:rPr>
                <w:sz w:val="20"/>
                <w:szCs w:val="20"/>
              </w:rPr>
              <w:t>1.850.000.000,00</w:t>
            </w:r>
          </w:p>
        </w:tc>
      </w:tr>
      <w:tr w:rsidR="00907B1E" w:rsidRPr="007F2D4C" w14:paraId="49C98C86"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C7228CF" w14:textId="77777777" w:rsidR="00907B1E" w:rsidRPr="007F2D4C" w:rsidRDefault="00907B1E">
            <w:pPr>
              <w:jc w:val="center"/>
              <w:rPr>
                <w:sz w:val="20"/>
                <w:szCs w:val="20"/>
              </w:rPr>
            </w:pPr>
            <w:r w:rsidRPr="007F2D4C">
              <w:rPr>
                <w:sz w:val="20"/>
                <w:szCs w:val="20"/>
              </w:rPr>
              <w:t>14.</w:t>
            </w:r>
          </w:p>
        </w:tc>
        <w:tc>
          <w:tcPr>
            <w:tcW w:w="3144" w:type="dxa"/>
            <w:tcBorders>
              <w:top w:val="nil"/>
              <w:left w:val="nil"/>
              <w:bottom w:val="nil"/>
              <w:right w:val="single" w:sz="4" w:space="0" w:color="auto"/>
            </w:tcBorders>
            <w:shd w:val="clear" w:color="auto" w:fill="auto"/>
            <w:noWrap/>
            <w:vAlign w:val="center"/>
            <w:hideMark/>
          </w:tcPr>
          <w:p w14:paraId="72947C2A" w14:textId="77777777" w:rsidR="00907B1E" w:rsidRPr="007F2D4C" w:rsidRDefault="00907B1E">
            <w:pPr>
              <w:rPr>
                <w:sz w:val="20"/>
                <w:szCs w:val="20"/>
              </w:rPr>
            </w:pPr>
            <w:r w:rsidRPr="007F2D4C">
              <w:rPr>
                <w:sz w:val="20"/>
                <w:szCs w:val="20"/>
              </w:rPr>
              <w:t xml:space="preserve">ERSTE HRK 1,8 </w:t>
            </w:r>
            <w:proofErr w:type="spellStart"/>
            <w:r w:rsidRPr="007F2D4C">
              <w:rPr>
                <w:sz w:val="20"/>
                <w:szCs w:val="20"/>
              </w:rPr>
              <w:t>mlrd</w:t>
            </w:r>
            <w:proofErr w:type="spellEnd"/>
            <w:r w:rsidRPr="007F2D4C">
              <w:rPr>
                <w:sz w:val="20"/>
                <w:szCs w:val="20"/>
              </w:rPr>
              <w:t>. D 2025</w:t>
            </w:r>
          </w:p>
        </w:tc>
        <w:tc>
          <w:tcPr>
            <w:tcW w:w="1134" w:type="dxa"/>
            <w:tcBorders>
              <w:top w:val="nil"/>
              <w:left w:val="nil"/>
              <w:bottom w:val="nil"/>
              <w:right w:val="single" w:sz="4" w:space="0" w:color="auto"/>
            </w:tcBorders>
            <w:shd w:val="clear" w:color="auto" w:fill="auto"/>
            <w:noWrap/>
            <w:vAlign w:val="center"/>
            <w:hideMark/>
          </w:tcPr>
          <w:p w14:paraId="456C57E9" w14:textId="77777777" w:rsidR="00907B1E" w:rsidRPr="007F2D4C" w:rsidRDefault="00907B1E">
            <w:pPr>
              <w:jc w:val="center"/>
              <w:rPr>
                <w:sz w:val="20"/>
                <w:szCs w:val="20"/>
              </w:rPr>
            </w:pPr>
            <w:r w:rsidRPr="007F2D4C">
              <w:rPr>
                <w:sz w:val="20"/>
                <w:szCs w:val="20"/>
              </w:rPr>
              <w:t xml:space="preserve">Erste </w:t>
            </w:r>
            <w:proofErr w:type="spellStart"/>
            <w:r w:rsidRPr="007F2D4C">
              <w:rPr>
                <w:sz w:val="20"/>
                <w:szCs w:val="20"/>
              </w:rPr>
              <w:t>bank</w:t>
            </w:r>
            <w:proofErr w:type="spellEnd"/>
            <w:r w:rsidRPr="007F2D4C">
              <w:rPr>
                <w:sz w:val="20"/>
                <w:szCs w:val="20"/>
              </w:rPr>
              <w:t xml:space="preserve"> </w:t>
            </w:r>
          </w:p>
        </w:tc>
        <w:tc>
          <w:tcPr>
            <w:tcW w:w="851" w:type="dxa"/>
            <w:tcBorders>
              <w:top w:val="nil"/>
              <w:left w:val="nil"/>
              <w:bottom w:val="nil"/>
              <w:right w:val="single" w:sz="4" w:space="0" w:color="auto"/>
            </w:tcBorders>
            <w:shd w:val="clear" w:color="auto" w:fill="auto"/>
            <w:noWrap/>
            <w:vAlign w:val="center"/>
            <w:hideMark/>
          </w:tcPr>
          <w:p w14:paraId="68755AD6"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nil"/>
              <w:right w:val="single" w:sz="4" w:space="0" w:color="auto"/>
            </w:tcBorders>
            <w:shd w:val="clear" w:color="auto" w:fill="auto"/>
            <w:noWrap/>
            <w:vAlign w:val="center"/>
            <w:hideMark/>
          </w:tcPr>
          <w:p w14:paraId="792AB1BC" w14:textId="77777777" w:rsidR="00907B1E" w:rsidRPr="007F2D4C" w:rsidRDefault="00907B1E">
            <w:pPr>
              <w:jc w:val="right"/>
              <w:rPr>
                <w:sz w:val="20"/>
                <w:szCs w:val="20"/>
              </w:rPr>
            </w:pPr>
            <w:r w:rsidRPr="007F2D4C">
              <w:rPr>
                <w:sz w:val="20"/>
                <w:szCs w:val="20"/>
              </w:rPr>
              <w:t>1.800.000.000,00</w:t>
            </w:r>
          </w:p>
        </w:tc>
        <w:tc>
          <w:tcPr>
            <w:tcW w:w="1843" w:type="dxa"/>
            <w:tcBorders>
              <w:top w:val="nil"/>
              <w:left w:val="nil"/>
              <w:bottom w:val="single" w:sz="4" w:space="0" w:color="auto"/>
              <w:right w:val="single" w:sz="4" w:space="0" w:color="auto"/>
            </w:tcBorders>
            <w:shd w:val="clear" w:color="auto" w:fill="auto"/>
            <w:noWrap/>
            <w:vAlign w:val="center"/>
            <w:hideMark/>
          </w:tcPr>
          <w:p w14:paraId="75F16C02" w14:textId="77777777" w:rsidR="00907B1E" w:rsidRPr="007F2D4C" w:rsidRDefault="00907B1E">
            <w:pPr>
              <w:jc w:val="right"/>
              <w:rPr>
                <w:sz w:val="20"/>
                <w:szCs w:val="20"/>
              </w:rPr>
            </w:pPr>
            <w:r w:rsidRPr="007F2D4C">
              <w:rPr>
                <w:sz w:val="20"/>
                <w:szCs w:val="20"/>
              </w:rPr>
              <w:t>1.800.000.000,00</w:t>
            </w:r>
          </w:p>
        </w:tc>
      </w:tr>
      <w:tr w:rsidR="00907B1E" w:rsidRPr="007F2D4C" w14:paraId="3BBF0765"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420DE00" w14:textId="77777777" w:rsidR="00907B1E" w:rsidRPr="007F2D4C" w:rsidRDefault="00907B1E">
            <w:pPr>
              <w:jc w:val="center"/>
              <w:rPr>
                <w:sz w:val="20"/>
                <w:szCs w:val="20"/>
              </w:rPr>
            </w:pPr>
            <w:r w:rsidRPr="007F2D4C">
              <w:rPr>
                <w:sz w:val="20"/>
                <w:szCs w:val="20"/>
              </w:rPr>
              <w:t>15.</w:t>
            </w:r>
          </w:p>
        </w:tc>
        <w:tc>
          <w:tcPr>
            <w:tcW w:w="3144" w:type="dxa"/>
            <w:tcBorders>
              <w:top w:val="single" w:sz="4" w:space="0" w:color="auto"/>
              <w:left w:val="nil"/>
              <w:bottom w:val="single" w:sz="4" w:space="0" w:color="auto"/>
              <w:right w:val="single" w:sz="4" w:space="0" w:color="auto"/>
            </w:tcBorders>
            <w:shd w:val="clear" w:color="auto" w:fill="auto"/>
            <w:noWrap/>
            <w:vAlign w:val="center"/>
            <w:hideMark/>
          </w:tcPr>
          <w:p w14:paraId="0BF1805E" w14:textId="77777777" w:rsidR="00907B1E" w:rsidRPr="007F2D4C" w:rsidRDefault="00907B1E">
            <w:pPr>
              <w:rPr>
                <w:sz w:val="20"/>
                <w:szCs w:val="20"/>
              </w:rPr>
            </w:pPr>
            <w:r w:rsidRPr="007F2D4C">
              <w:rPr>
                <w:sz w:val="20"/>
                <w:szCs w:val="20"/>
              </w:rPr>
              <w:t xml:space="preserve">OTP HRK 700 </w:t>
            </w:r>
            <w:proofErr w:type="spellStart"/>
            <w:r w:rsidRPr="007F2D4C">
              <w:rPr>
                <w:sz w:val="20"/>
                <w:szCs w:val="20"/>
              </w:rPr>
              <w:t>mil</w:t>
            </w:r>
            <w:proofErr w:type="spellEnd"/>
            <w:r w:rsidRPr="007F2D4C">
              <w:rPr>
                <w:sz w:val="20"/>
                <w:szCs w:val="20"/>
              </w:rPr>
              <w:t>. D-2023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D64BDF" w14:textId="77777777" w:rsidR="00907B1E" w:rsidRPr="007F2D4C" w:rsidRDefault="00907B1E">
            <w:pPr>
              <w:jc w:val="center"/>
              <w:rPr>
                <w:sz w:val="20"/>
                <w:szCs w:val="20"/>
              </w:rPr>
            </w:pPr>
            <w:r w:rsidRPr="007F2D4C">
              <w:rPr>
                <w:sz w:val="20"/>
                <w:szCs w:val="20"/>
              </w:rPr>
              <w:t>OTP banka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298CEB" w14:textId="77777777" w:rsidR="00907B1E" w:rsidRPr="007F2D4C" w:rsidRDefault="00907B1E">
            <w:pPr>
              <w:jc w:val="center"/>
              <w:rPr>
                <w:sz w:val="20"/>
                <w:szCs w:val="20"/>
              </w:rPr>
            </w:pPr>
            <w:r w:rsidRPr="007F2D4C">
              <w:rPr>
                <w:sz w:val="20"/>
                <w:szCs w:val="20"/>
              </w:rPr>
              <w:t>HRK</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70FE438" w14:textId="77777777" w:rsidR="00907B1E" w:rsidRPr="007F2D4C" w:rsidRDefault="00907B1E">
            <w:pPr>
              <w:jc w:val="right"/>
              <w:rPr>
                <w:sz w:val="20"/>
                <w:szCs w:val="20"/>
              </w:rPr>
            </w:pPr>
            <w:r w:rsidRPr="007F2D4C">
              <w:rPr>
                <w:sz w:val="20"/>
                <w:szCs w:val="20"/>
              </w:rPr>
              <w:t>466.666.666,66</w:t>
            </w:r>
          </w:p>
        </w:tc>
        <w:tc>
          <w:tcPr>
            <w:tcW w:w="1843" w:type="dxa"/>
            <w:tcBorders>
              <w:top w:val="nil"/>
              <w:left w:val="nil"/>
              <w:bottom w:val="single" w:sz="4" w:space="0" w:color="auto"/>
              <w:right w:val="single" w:sz="4" w:space="0" w:color="auto"/>
            </w:tcBorders>
            <w:shd w:val="clear" w:color="auto" w:fill="auto"/>
            <w:noWrap/>
            <w:vAlign w:val="center"/>
            <w:hideMark/>
          </w:tcPr>
          <w:p w14:paraId="47B311CF" w14:textId="77777777" w:rsidR="00907B1E" w:rsidRPr="007F2D4C" w:rsidRDefault="00907B1E">
            <w:pPr>
              <w:jc w:val="right"/>
              <w:rPr>
                <w:sz w:val="20"/>
                <w:szCs w:val="20"/>
              </w:rPr>
            </w:pPr>
            <w:r w:rsidRPr="007F2D4C">
              <w:rPr>
                <w:sz w:val="20"/>
                <w:szCs w:val="20"/>
              </w:rPr>
              <w:t>466.666.666,66</w:t>
            </w:r>
          </w:p>
        </w:tc>
      </w:tr>
      <w:tr w:rsidR="00907B1E" w:rsidRPr="007F2D4C" w14:paraId="26875EFF"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2A8B7553" w14:textId="77777777" w:rsidR="00907B1E" w:rsidRPr="007F2D4C" w:rsidRDefault="00907B1E">
            <w:pPr>
              <w:jc w:val="center"/>
              <w:rPr>
                <w:sz w:val="20"/>
                <w:szCs w:val="20"/>
              </w:rPr>
            </w:pPr>
            <w:r w:rsidRPr="007F2D4C">
              <w:rPr>
                <w:sz w:val="20"/>
                <w:szCs w:val="20"/>
              </w:rPr>
              <w:t>16.</w:t>
            </w:r>
          </w:p>
        </w:tc>
        <w:tc>
          <w:tcPr>
            <w:tcW w:w="3144" w:type="dxa"/>
            <w:tcBorders>
              <w:top w:val="nil"/>
              <w:left w:val="nil"/>
              <w:bottom w:val="single" w:sz="4" w:space="0" w:color="auto"/>
              <w:right w:val="single" w:sz="4" w:space="0" w:color="auto"/>
            </w:tcBorders>
            <w:shd w:val="clear" w:color="auto" w:fill="auto"/>
            <w:noWrap/>
            <w:vAlign w:val="center"/>
            <w:hideMark/>
          </w:tcPr>
          <w:p w14:paraId="4320BD81" w14:textId="77777777" w:rsidR="00907B1E" w:rsidRPr="007F2D4C" w:rsidRDefault="00907B1E">
            <w:pPr>
              <w:rPr>
                <w:sz w:val="20"/>
                <w:szCs w:val="20"/>
              </w:rPr>
            </w:pPr>
            <w:r w:rsidRPr="007F2D4C">
              <w:rPr>
                <w:sz w:val="20"/>
                <w:szCs w:val="20"/>
              </w:rPr>
              <w:t xml:space="preserve">OTP HRK 800 </w:t>
            </w:r>
            <w:proofErr w:type="spellStart"/>
            <w:r w:rsidRPr="007F2D4C">
              <w:rPr>
                <w:sz w:val="20"/>
                <w:szCs w:val="20"/>
              </w:rPr>
              <w:t>mil</w:t>
            </w:r>
            <w:proofErr w:type="spellEnd"/>
            <w:r w:rsidRPr="007F2D4C">
              <w:rPr>
                <w:sz w:val="20"/>
                <w:szCs w:val="20"/>
              </w:rPr>
              <w:t>. D-2025</w:t>
            </w:r>
          </w:p>
        </w:tc>
        <w:tc>
          <w:tcPr>
            <w:tcW w:w="1134" w:type="dxa"/>
            <w:tcBorders>
              <w:top w:val="nil"/>
              <w:left w:val="nil"/>
              <w:bottom w:val="single" w:sz="4" w:space="0" w:color="auto"/>
              <w:right w:val="single" w:sz="4" w:space="0" w:color="auto"/>
            </w:tcBorders>
            <w:shd w:val="clear" w:color="auto" w:fill="auto"/>
            <w:noWrap/>
            <w:vAlign w:val="center"/>
            <w:hideMark/>
          </w:tcPr>
          <w:p w14:paraId="5A12DB39" w14:textId="77777777" w:rsidR="00907B1E" w:rsidRPr="007F2D4C" w:rsidRDefault="00907B1E">
            <w:pPr>
              <w:jc w:val="center"/>
              <w:rPr>
                <w:sz w:val="20"/>
                <w:szCs w:val="20"/>
              </w:rPr>
            </w:pPr>
            <w:r w:rsidRPr="007F2D4C">
              <w:rPr>
                <w:sz w:val="20"/>
                <w:szCs w:val="20"/>
              </w:rPr>
              <w:t>OTP banka</w:t>
            </w:r>
          </w:p>
        </w:tc>
        <w:tc>
          <w:tcPr>
            <w:tcW w:w="851" w:type="dxa"/>
            <w:tcBorders>
              <w:top w:val="nil"/>
              <w:left w:val="nil"/>
              <w:bottom w:val="single" w:sz="4" w:space="0" w:color="auto"/>
              <w:right w:val="single" w:sz="4" w:space="0" w:color="auto"/>
            </w:tcBorders>
            <w:shd w:val="clear" w:color="auto" w:fill="auto"/>
            <w:noWrap/>
            <w:vAlign w:val="center"/>
            <w:hideMark/>
          </w:tcPr>
          <w:p w14:paraId="2070FFFD"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2A193E11" w14:textId="77777777" w:rsidR="00907B1E" w:rsidRPr="007F2D4C" w:rsidRDefault="00907B1E">
            <w:pPr>
              <w:jc w:val="right"/>
              <w:rPr>
                <w:sz w:val="20"/>
                <w:szCs w:val="20"/>
              </w:rPr>
            </w:pPr>
            <w:r w:rsidRPr="007F2D4C">
              <w:rPr>
                <w:sz w:val="20"/>
                <w:szCs w:val="20"/>
              </w:rPr>
              <w:t>800.000.000,00</w:t>
            </w:r>
          </w:p>
        </w:tc>
        <w:tc>
          <w:tcPr>
            <w:tcW w:w="1843" w:type="dxa"/>
            <w:tcBorders>
              <w:top w:val="nil"/>
              <w:left w:val="nil"/>
              <w:bottom w:val="single" w:sz="4" w:space="0" w:color="auto"/>
              <w:right w:val="single" w:sz="4" w:space="0" w:color="auto"/>
            </w:tcBorders>
            <w:shd w:val="clear" w:color="auto" w:fill="auto"/>
            <w:noWrap/>
            <w:vAlign w:val="center"/>
            <w:hideMark/>
          </w:tcPr>
          <w:p w14:paraId="256ECBA6" w14:textId="77777777" w:rsidR="00907B1E" w:rsidRPr="007F2D4C" w:rsidRDefault="00907B1E">
            <w:pPr>
              <w:jc w:val="right"/>
              <w:rPr>
                <w:sz w:val="20"/>
                <w:szCs w:val="20"/>
              </w:rPr>
            </w:pPr>
            <w:r w:rsidRPr="007F2D4C">
              <w:rPr>
                <w:sz w:val="20"/>
                <w:szCs w:val="20"/>
              </w:rPr>
              <w:t>800.000.000,00</w:t>
            </w:r>
          </w:p>
        </w:tc>
      </w:tr>
      <w:tr w:rsidR="00907B1E" w:rsidRPr="007F2D4C" w14:paraId="7C90CA46"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2541F40" w14:textId="77777777" w:rsidR="00907B1E" w:rsidRPr="007F2D4C" w:rsidRDefault="00907B1E">
            <w:pPr>
              <w:jc w:val="center"/>
              <w:rPr>
                <w:sz w:val="20"/>
                <w:szCs w:val="20"/>
              </w:rPr>
            </w:pPr>
            <w:r w:rsidRPr="007F2D4C">
              <w:rPr>
                <w:sz w:val="20"/>
                <w:szCs w:val="20"/>
              </w:rPr>
              <w:t>17.</w:t>
            </w:r>
          </w:p>
        </w:tc>
        <w:tc>
          <w:tcPr>
            <w:tcW w:w="3144" w:type="dxa"/>
            <w:tcBorders>
              <w:top w:val="nil"/>
              <w:left w:val="nil"/>
              <w:bottom w:val="single" w:sz="4" w:space="0" w:color="auto"/>
              <w:right w:val="single" w:sz="4" w:space="0" w:color="auto"/>
            </w:tcBorders>
            <w:shd w:val="clear" w:color="auto" w:fill="auto"/>
            <w:noWrap/>
            <w:vAlign w:val="center"/>
            <w:hideMark/>
          </w:tcPr>
          <w:p w14:paraId="603FA015" w14:textId="77777777" w:rsidR="00907B1E" w:rsidRPr="007F2D4C" w:rsidRDefault="00907B1E">
            <w:pPr>
              <w:rPr>
                <w:sz w:val="20"/>
                <w:szCs w:val="20"/>
              </w:rPr>
            </w:pPr>
            <w:r w:rsidRPr="007F2D4C">
              <w:rPr>
                <w:sz w:val="20"/>
                <w:szCs w:val="20"/>
              </w:rPr>
              <w:t xml:space="preserve">PBZ HRK 1,14 </w:t>
            </w:r>
            <w:proofErr w:type="spellStart"/>
            <w:r w:rsidRPr="007F2D4C">
              <w:rPr>
                <w:sz w:val="20"/>
                <w:szCs w:val="20"/>
              </w:rPr>
              <w:t>mlrd</w:t>
            </w:r>
            <w:proofErr w:type="spellEnd"/>
            <w:r w:rsidRPr="007F2D4C">
              <w:rPr>
                <w:sz w:val="20"/>
                <w:szCs w:val="20"/>
              </w:rPr>
              <w:t>. 2020</w:t>
            </w:r>
          </w:p>
        </w:tc>
        <w:tc>
          <w:tcPr>
            <w:tcW w:w="1134" w:type="dxa"/>
            <w:tcBorders>
              <w:top w:val="nil"/>
              <w:left w:val="nil"/>
              <w:bottom w:val="single" w:sz="4" w:space="0" w:color="auto"/>
              <w:right w:val="single" w:sz="4" w:space="0" w:color="auto"/>
            </w:tcBorders>
            <w:shd w:val="clear" w:color="auto" w:fill="auto"/>
            <w:noWrap/>
            <w:vAlign w:val="center"/>
            <w:hideMark/>
          </w:tcPr>
          <w:p w14:paraId="03ED2A90" w14:textId="77777777" w:rsidR="00907B1E" w:rsidRPr="007F2D4C" w:rsidRDefault="00907B1E">
            <w:pPr>
              <w:jc w:val="center"/>
              <w:rPr>
                <w:sz w:val="20"/>
                <w:szCs w:val="20"/>
              </w:rPr>
            </w:pPr>
            <w:r w:rsidRPr="007F2D4C">
              <w:rPr>
                <w:sz w:val="20"/>
                <w:szCs w:val="20"/>
              </w:rPr>
              <w:t>PBZ</w:t>
            </w:r>
          </w:p>
        </w:tc>
        <w:tc>
          <w:tcPr>
            <w:tcW w:w="851" w:type="dxa"/>
            <w:tcBorders>
              <w:top w:val="nil"/>
              <w:left w:val="nil"/>
              <w:bottom w:val="single" w:sz="4" w:space="0" w:color="auto"/>
              <w:right w:val="single" w:sz="4" w:space="0" w:color="auto"/>
            </w:tcBorders>
            <w:shd w:val="clear" w:color="auto" w:fill="auto"/>
            <w:noWrap/>
            <w:vAlign w:val="center"/>
            <w:hideMark/>
          </w:tcPr>
          <w:p w14:paraId="3C867D20"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0E7B11EA" w14:textId="77777777" w:rsidR="00907B1E" w:rsidRPr="007F2D4C" w:rsidRDefault="00907B1E">
            <w:pPr>
              <w:jc w:val="right"/>
              <w:rPr>
                <w:sz w:val="20"/>
                <w:szCs w:val="20"/>
              </w:rPr>
            </w:pPr>
            <w:r w:rsidRPr="007F2D4C">
              <w:rPr>
                <w:sz w:val="20"/>
                <w:szCs w:val="20"/>
              </w:rPr>
              <w:t>1.140.000.000,00</w:t>
            </w:r>
          </w:p>
        </w:tc>
        <w:tc>
          <w:tcPr>
            <w:tcW w:w="1843" w:type="dxa"/>
            <w:tcBorders>
              <w:top w:val="nil"/>
              <w:left w:val="nil"/>
              <w:bottom w:val="single" w:sz="4" w:space="0" w:color="auto"/>
              <w:right w:val="single" w:sz="4" w:space="0" w:color="auto"/>
            </w:tcBorders>
            <w:shd w:val="clear" w:color="auto" w:fill="auto"/>
            <w:noWrap/>
            <w:vAlign w:val="center"/>
            <w:hideMark/>
          </w:tcPr>
          <w:p w14:paraId="226AF6F5" w14:textId="77777777" w:rsidR="00907B1E" w:rsidRPr="007F2D4C" w:rsidRDefault="00907B1E">
            <w:pPr>
              <w:jc w:val="right"/>
              <w:rPr>
                <w:sz w:val="20"/>
                <w:szCs w:val="20"/>
              </w:rPr>
            </w:pPr>
            <w:r w:rsidRPr="007F2D4C">
              <w:rPr>
                <w:sz w:val="20"/>
                <w:szCs w:val="20"/>
              </w:rPr>
              <w:t>1.140.000.000,00</w:t>
            </w:r>
          </w:p>
        </w:tc>
      </w:tr>
      <w:tr w:rsidR="00907B1E" w:rsidRPr="007F2D4C" w14:paraId="4A735076"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59ACE540" w14:textId="77777777" w:rsidR="00907B1E" w:rsidRPr="007F2D4C" w:rsidRDefault="00907B1E">
            <w:pPr>
              <w:jc w:val="center"/>
              <w:rPr>
                <w:sz w:val="20"/>
                <w:szCs w:val="20"/>
              </w:rPr>
            </w:pPr>
            <w:r w:rsidRPr="007F2D4C">
              <w:rPr>
                <w:sz w:val="20"/>
                <w:szCs w:val="20"/>
              </w:rPr>
              <w:t>18.</w:t>
            </w:r>
          </w:p>
        </w:tc>
        <w:tc>
          <w:tcPr>
            <w:tcW w:w="3144" w:type="dxa"/>
            <w:tcBorders>
              <w:top w:val="nil"/>
              <w:left w:val="nil"/>
              <w:bottom w:val="single" w:sz="4" w:space="0" w:color="auto"/>
              <w:right w:val="single" w:sz="4" w:space="0" w:color="auto"/>
            </w:tcBorders>
            <w:shd w:val="clear" w:color="auto" w:fill="auto"/>
            <w:noWrap/>
            <w:vAlign w:val="center"/>
            <w:hideMark/>
          </w:tcPr>
          <w:p w14:paraId="58E3B1F9" w14:textId="77777777" w:rsidR="00907B1E" w:rsidRPr="007F2D4C" w:rsidRDefault="00907B1E">
            <w:pPr>
              <w:rPr>
                <w:sz w:val="20"/>
                <w:szCs w:val="20"/>
              </w:rPr>
            </w:pPr>
            <w:r w:rsidRPr="007F2D4C">
              <w:rPr>
                <w:sz w:val="20"/>
                <w:szCs w:val="20"/>
              </w:rPr>
              <w:t xml:space="preserve">PBZ HRK 1,2 </w:t>
            </w:r>
            <w:proofErr w:type="spellStart"/>
            <w:r w:rsidRPr="007F2D4C">
              <w:rPr>
                <w:sz w:val="20"/>
                <w:szCs w:val="20"/>
              </w:rPr>
              <w:t>mlrd</w:t>
            </w:r>
            <w:proofErr w:type="spellEnd"/>
            <w:r w:rsidRPr="007F2D4C">
              <w:rPr>
                <w:sz w:val="20"/>
                <w:szCs w:val="20"/>
              </w:rPr>
              <w:t>. 2020</w:t>
            </w:r>
          </w:p>
        </w:tc>
        <w:tc>
          <w:tcPr>
            <w:tcW w:w="1134" w:type="dxa"/>
            <w:tcBorders>
              <w:top w:val="nil"/>
              <w:left w:val="nil"/>
              <w:bottom w:val="single" w:sz="4" w:space="0" w:color="auto"/>
              <w:right w:val="single" w:sz="4" w:space="0" w:color="auto"/>
            </w:tcBorders>
            <w:shd w:val="clear" w:color="auto" w:fill="auto"/>
            <w:noWrap/>
            <w:vAlign w:val="center"/>
            <w:hideMark/>
          </w:tcPr>
          <w:p w14:paraId="322F829D" w14:textId="77777777" w:rsidR="00907B1E" w:rsidRPr="007F2D4C" w:rsidRDefault="00907B1E">
            <w:pPr>
              <w:jc w:val="center"/>
              <w:rPr>
                <w:sz w:val="20"/>
                <w:szCs w:val="20"/>
              </w:rPr>
            </w:pPr>
            <w:r w:rsidRPr="007F2D4C">
              <w:rPr>
                <w:sz w:val="20"/>
                <w:szCs w:val="20"/>
              </w:rPr>
              <w:t>PBZ</w:t>
            </w:r>
          </w:p>
        </w:tc>
        <w:tc>
          <w:tcPr>
            <w:tcW w:w="851" w:type="dxa"/>
            <w:tcBorders>
              <w:top w:val="nil"/>
              <w:left w:val="nil"/>
              <w:bottom w:val="single" w:sz="4" w:space="0" w:color="auto"/>
              <w:right w:val="single" w:sz="4" w:space="0" w:color="auto"/>
            </w:tcBorders>
            <w:shd w:val="clear" w:color="auto" w:fill="auto"/>
            <w:noWrap/>
            <w:vAlign w:val="center"/>
            <w:hideMark/>
          </w:tcPr>
          <w:p w14:paraId="63B27CC0"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5168C909" w14:textId="77777777" w:rsidR="00907B1E" w:rsidRPr="007F2D4C" w:rsidRDefault="00907B1E">
            <w:pPr>
              <w:jc w:val="right"/>
              <w:rPr>
                <w:sz w:val="20"/>
                <w:szCs w:val="20"/>
              </w:rPr>
            </w:pPr>
            <w:r w:rsidRPr="007F2D4C">
              <w:rPr>
                <w:sz w:val="20"/>
                <w:szCs w:val="20"/>
              </w:rPr>
              <w:t>1.200.000.000,00</w:t>
            </w:r>
          </w:p>
        </w:tc>
        <w:tc>
          <w:tcPr>
            <w:tcW w:w="1843" w:type="dxa"/>
            <w:tcBorders>
              <w:top w:val="nil"/>
              <w:left w:val="nil"/>
              <w:bottom w:val="single" w:sz="4" w:space="0" w:color="auto"/>
              <w:right w:val="single" w:sz="4" w:space="0" w:color="auto"/>
            </w:tcBorders>
            <w:shd w:val="clear" w:color="auto" w:fill="auto"/>
            <w:noWrap/>
            <w:vAlign w:val="center"/>
            <w:hideMark/>
          </w:tcPr>
          <w:p w14:paraId="3BF53EB4" w14:textId="77777777" w:rsidR="00907B1E" w:rsidRPr="007F2D4C" w:rsidRDefault="00907B1E">
            <w:pPr>
              <w:jc w:val="right"/>
              <w:rPr>
                <w:sz w:val="20"/>
                <w:szCs w:val="20"/>
              </w:rPr>
            </w:pPr>
            <w:r w:rsidRPr="007F2D4C">
              <w:rPr>
                <w:sz w:val="20"/>
                <w:szCs w:val="20"/>
              </w:rPr>
              <w:t>1.200.000.000,00</w:t>
            </w:r>
          </w:p>
        </w:tc>
      </w:tr>
      <w:tr w:rsidR="00907B1E" w:rsidRPr="007F2D4C" w14:paraId="5045AC3E"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44E2AD3D" w14:textId="77777777" w:rsidR="00907B1E" w:rsidRPr="007F2D4C" w:rsidRDefault="00907B1E">
            <w:pPr>
              <w:jc w:val="center"/>
              <w:rPr>
                <w:sz w:val="20"/>
                <w:szCs w:val="20"/>
              </w:rPr>
            </w:pPr>
            <w:r w:rsidRPr="007F2D4C">
              <w:rPr>
                <w:sz w:val="20"/>
                <w:szCs w:val="20"/>
              </w:rPr>
              <w:t>19.</w:t>
            </w:r>
          </w:p>
        </w:tc>
        <w:tc>
          <w:tcPr>
            <w:tcW w:w="3144" w:type="dxa"/>
            <w:tcBorders>
              <w:top w:val="nil"/>
              <w:left w:val="nil"/>
              <w:bottom w:val="single" w:sz="4" w:space="0" w:color="auto"/>
              <w:right w:val="single" w:sz="4" w:space="0" w:color="auto"/>
            </w:tcBorders>
            <w:shd w:val="clear" w:color="auto" w:fill="auto"/>
            <w:noWrap/>
            <w:vAlign w:val="center"/>
            <w:hideMark/>
          </w:tcPr>
          <w:p w14:paraId="471CC5FE" w14:textId="77777777" w:rsidR="00907B1E" w:rsidRPr="007F2D4C" w:rsidRDefault="00907B1E">
            <w:pPr>
              <w:rPr>
                <w:sz w:val="20"/>
                <w:szCs w:val="20"/>
              </w:rPr>
            </w:pPr>
            <w:proofErr w:type="spellStart"/>
            <w:r w:rsidRPr="007F2D4C">
              <w:rPr>
                <w:sz w:val="20"/>
                <w:szCs w:val="20"/>
              </w:rPr>
              <w:t>Raiffeisenbank</w:t>
            </w:r>
            <w:proofErr w:type="spellEnd"/>
            <w:r w:rsidRPr="007F2D4C">
              <w:rPr>
                <w:sz w:val="20"/>
                <w:szCs w:val="20"/>
              </w:rPr>
              <w:t xml:space="preserve"> HRK 370 </w:t>
            </w:r>
            <w:proofErr w:type="spellStart"/>
            <w:r w:rsidRPr="007F2D4C">
              <w:rPr>
                <w:sz w:val="20"/>
                <w:szCs w:val="20"/>
              </w:rPr>
              <w:t>mil</w:t>
            </w:r>
            <w:proofErr w:type="spellEnd"/>
            <w:r w:rsidRPr="007F2D4C">
              <w:rPr>
                <w:sz w:val="20"/>
                <w:szCs w:val="20"/>
              </w:rPr>
              <w:t>. D-2022</w:t>
            </w:r>
          </w:p>
        </w:tc>
        <w:tc>
          <w:tcPr>
            <w:tcW w:w="1134" w:type="dxa"/>
            <w:tcBorders>
              <w:top w:val="nil"/>
              <w:left w:val="nil"/>
              <w:bottom w:val="single" w:sz="4" w:space="0" w:color="auto"/>
              <w:right w:val="single" w:sz="4" w:space="0" w:color="auto"/>
            </w:tcBorders>
            <w:shd w:val="clear" w:color="auto" w:fill="auto"/>
            <w:noWrap/>
            <w:vAlign w:val="center"/>
            <w:hideMark/>
          </w:tcPr>
          <w:p w14:paraId="35E46A08" w14:textId="77777777" w:rsidR="00907B1E" w:rsidRPr="007F2D4C" w:rsidRDefault="00907B1E">
            <w:pPr>
              <w:jc w:val="center"/>
              <w:rPr>
                <w:sz w:val="20"/>
                <w:szCs w:val="20"/>
              </w:rPr>
            </w:pPr>
            <w:proofErr w:type="spellStart"/>
            <w:r w:rsidRPr="007F2D4C">
              <w:rPr>
                <w:sz w:val="20"/>
                <w:szCs w:val="20"/>
              </w:rPr>
              <w:t>Raiffeisenbank</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6C476B2"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0A0A5093" w14:textId="77777777" w:rsidR="00907B1E" w:rsidRPr="007F2D4C" w:rsidRDefault="00907B1E">
            <w:pPr>
              <w:jc w:val="right"/>
              <w:rPr>
                <w:sz w:val="20"/>
                <w:szCs w:val="20"/>
              </w:rPr>
            </w:pPr>
            <w:r w:rsidRPr="007F2D4C">
              <w:rPr>
                <w:sz w:val="20"/>
                <w:szCs w:val="20"/>
              </w:rPr>
              <w:t>370.000.000,00</w:t>
            </w:r>
          </w:p>
        </w:tc>
        <w:tc>
          <w:tcPr>
            <w:tcW w:w="1843" w:type="dxa"/>
            <w:tcBorders>
              <w:top w:val="nil"/>
              <w:left w:val="nil"/>
              <w:bottom w:val="single" w:sz="4" w:space="0" w:color="auto"/>
              <w:right w:val="single" w:sz="4" w:space="0" w:color="auto"/>
            </w:tcBorders>
            <w:shd w:val="clear" w:color="auto" w:fill="auto"/>
            <w:noWrap/>
            <w:vAlign w:val="center"/>
            <w:hideMark/>
          </w:tcPr>
          <w:p w14:paraId="48C1DCF0" w14:textId="77777777" w:rsidR="00907B1E" w:rsidRPr="007F2D4C" w:rsidRDefault="00907B1E">
            <w:pPr>
              <w:jc w:val="right"/>
              <w:rPr>
                <w:sz w:val="20"/>
                <w:szCs w:val="20"/>
              </w:rPr>
            </w:pPr>
            <w:r w:rsidRPr="007F2D4C">
              <w:rPr>
                <w:sz w:val="20"/>
                <w:szCs w:val="20"/>
              </w:rPr>
              <w:t>370.000.000,00</w:t>
            </w:r>
          </w:p>
        </w:tc>
      </w:tr>
      <w:tr w:rsidR="00907B1E" w:rsidRPr="007F2D4C" w14:paraId="69C68934"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BEDA430" w14:textId="77777777" w:rsidR="00907B1E" w:rsidRPr="007F2D4C" w:rsidRDefault="00907B1E">
            <w:pPr>
              <w:jc w:val="center"/>
              <w:rPr>
                <w:sz w:val="20"/>
                <w:szCs w:val="20"/>
              </w:rPr>
            </w:pPr>
            <w:r w:rsidRPr="007F2D4C">
              <w:rPr>
                <w:sz w:val="20"/>
                <w:szCs w:val="20"/>
              </w:rPr>
              <w:t>20.</w:t>
            </w:r>
          </w:p>
        </w:tc>
        <w:tc>
          <w:tcPr>
            <w:tcW w:w="3144" w:type="dxa"/>
            <w:tcBorders>
              <w:top w:val="nil"/>
              <w:left w:val="nil"/>
              <w:bottom w:val="single" w:sz="4" w:space="0" w:color="auto"/>
              <w:right w:val="single" w:sz="4" w:space="0" w:color="auto"/>
            </w:tcBorders>
            <w:shd w:val="clear" w:color="auto" w:fill="auto"/>
            <w:noWrap/>
            <w:vAlign w:val="center"/>
            <w:hideMark/>
          </w:tcPr>
          <w:p w14:paraId="06C07ADD" w14:textId="77777777" w:rsidR="00907B1E" w:rsidRPr="007F2D4C" w:rsidRDefault="00907B1E">
            <w:pPr>
              <w:rPr>
                <w:sz w:val="20"/>
                <w:szCs w:val="20"/>
              </w:rPr>
            </w:pPr>
            <w:r w:rsidRPr="007F2D4C">
              <w:rPr>
                <w:sz w:val="20"/>
                <w:szCs w:val="20"/>
              </w:rPr>
              <w:t xml:space="preserve">ZABA HRK 750 </w:t>
            </w:r>
            <w:proofErr w:type="spellStart"/>
            <w:r w:rsidRPr="007F2D4C">
              <w:rPr>
                <w:sz w:val="20"/>
                <w:szCs w:val="20"/>
              </w:rPr>
              <w:t>mil</w:t>
            </w:r>
            <w:proofErr w:type="spellEnd"/>
            <w:r w:rsidRPr="007F2D4C">
              <w:rPr>
                <w:sz w:val="20"/>
                <w:szCs w:val="20"/>
              </w:rPr>
              <w:t xml:space="preserve">. D-2023 </w:t>
            </w:r>
          </w:p>
        </w:tc>
        <w:tc>
          <w:tcPr>
            <w:tcW w:w="1134" w:type="dxa"/>
            <w:tcBorders>
              <w:top w:val="nil"/>
              <w:left w:val="nil"/>
              <w:bottom w:val="single" w:sz="4" w:space="0" w:color="auto"/>
              <w:right w:val="single" w:sz="4" w:space="0" w:color="auto"/>
            </w:tcBorders>
            <w:shd w:val="clear" w:color="auto" w:fill="auto"/>
            <w:noWrap/>
            <w:vAlign w:val="center"/>
            <w:hideMark/>
          </w:tcPr>
          <w:p w14:paraId="21363752"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37F4FFC2"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4D048D71" w14:textId="77777777" w:rsidR="00907B1E" w:rsidRPr="007F2D4C" w:rsidRDefault="00907B1E">
            <w:pPr>
              <w:jc w:val="right"/>
              <w:rPr>
                <w:sz w:val="20"/>
                <w:szCs w:val="20"/>
              </w:rPr>
            </w:pPr>
            <w:r w:rsidRPr="007F2D4C">
              <w:rPr>
                <w:sz w:val="20"/>
                <w:szCs w:val="20"/>
              </w:rPr>
              <w:t>375.000.000,00</w:t>
            </w:r>
          </w:p>
        </w:tc>
        <w:tc>
          <w:tcPr>
            <w:tcW w:w="1843" w:type="dxa"/>
            <w:tcBorders>
              <w:top w:val="nil"/>
              <w:left w:val="nil"/>
              <w:bottom w:val="single" w:sz="4" w:space="0" w:color="auto"/>
              <w:right w:val="single" w:sz="4" w:space="0" w:color="auto"/>
            </w:tcBorders>
            <w:shd w:val="clear" w:color="auto" w:fill="auto"/>
            <w:noWrap/>
            <w:vAlign w:val="center"/>
            <w:hideMark/>
          </w:tcPr>
          <w:p w14:paraId="42B30B55" w14:textId="77777777" w:rsidR="00907B1E" w:rsidRPr="007F2D4C" w:rsidRDefault="00907B1E">
            <w:pPr>
              <w:jc w:val="right"/>
              <w:rPr>
                <w:sz w:val="20"/>
                <w:szCs w:val="20"/>
              </w:rPr>
            </w:pPr>
            <w:r w:rsidRPr="007F2D4C">
              <w:rPr>
                <w:sz w:val="20"/>
                <w:szCs w:val="20"/>
              </w:rPr>
              <w:t>375.000.000,00</w:t>
            </w:r>
          </w:p>
        </w:tc>
      </w:tr>
      <w:tr w:rsidR="00907B1E" w:rsidRPr="007F2D4C" w14:paraId="1316C842"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08A7B1E" w14:textId="77777777" w:rsidR="00907B1E" w:rsidRPr="007F2D4C" w:rsidRDefault="00907B1E">
            <w:pPr>
              <w:jc w:val="center"/>
              <w:rPr>
                <w:sz w:val="20"/>
                <w:szCs w:val="20"/>
              </w:rPr>
            </w:pPr>
            <w:r w:rsidRPr="007F2D4C">
              <w:rPr>
                <w:sz w:val="20"/>
                <w:szCs w:val="20"/>
              </w:rPr>
              <w:t>21.</w:t>
            </w:r>
          </w:p>
        </w:tc>
        <w:tc>
          <w:tcPr>
            <w:tcW w:w="3144" w:type="dxa"/>
            <w:tcBorders>
              <w:top w:val="nil"/>
              <w:left w:val="nil"/>
              <w:bottom w:val="single" w:sz="4" w:space="0" w:color="auto"/>
              <w:right w:val="single" w:sz="4" w:space="0" w:color="auto"/>
            </w:tcBorders>
            <w:shd w:val="clear" w:color="auto" w:fill="auto"/>
            <w:noWrap/>
            <w:vAlign w:val="center"/>
            <w:hideMark/>
          </w:tcPr>
          <w:p w14:paraId="5BA1DE9A" w14:textId="77777777" w:rsidR="00907B1E" w:rsidRPr="007F2D4C" w:rsidRDefault="00907B1E">
            <w:pPr>
              <w:rPr>
                <w:sz w:val="20"/>
                <w:szCs w:val="20"/>
              </w:rPr>
            </w:pPr>
            <w:r w:rsidRPr="007F2D4C">
              <w:rPr>
                <w:sz w:val="20"/>
                <w:szCs w:val="20"/>
              </w:rPr>
              <w:t xml:space="preserve">ZABA HRK 750 </w:t>
            </w:r>
            <w:proofErr w:type="spellStart"/>
            <w:r w:rsidRPr="007F2D4C">
              <w:rPr>
                <w:sz w:val="20"/>
                <w:szCs w:val="20"/>
              </w:rPr>
              <w:t>mil</w:t>
            </w:r>
            <w:proofErr w:type="spellEnd"/>
            <w:r w:rsidRPr="007F2D4C">
              <w:rPr>
                <w:sz w:val="20"/>
                <w:szCs w:val="20"/>
              </w:rPr>
              <w:t xml:space="preserve">. D-2025 </w:t>
            </w:r>
          </w:p>
        </w:tc>
        <w:tc>
          <w:tcPr>
            <w:tcW w:w="1134" w:type="dxa"/>
            <w:tcBorders>
              <w:top w:val="nil"/>
              <w:left w:val="nil"/>
              <w:bottom w:val="single" w:sz="4" w:space="0" w:color="auto"/>
              <w:right w:val="single" w:sz="4" w:space="0" w:color="auto"/>
            </w:tcBorders>
            <w:shd w:val="clear" w:color="auto" w:fill="auto"/>
            <w:noWrap/>
            <w:vAlign w:val="center"/>
            <w:hideMark/>
          </w:tcPr>
          <w:p w14:paraId="6BE59655"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61C51EC2"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6239D742" w14:textId="77777777" w:rsidR="00907B1E" w:rsidRPr="007F2D4C" w:rsidRDefault="00907B1E">
            <w:pPr>
              <w:jc w:val="right"/>
              <w:rPr>
                <w:sz w:val="20"/>
                <w:szCs w:val="20"/>
              </w:rPr>
            </w:pPr>
            <w:r w:rsidRPr="007F2D4C">
              <w:rPr>
                <w:sz w:val="20"/>
                <w:szCs w:val="20"/>
              </w:rPr>
              <w:t>525.000.000,00</w:t>
            </w:r>
          </w:p>
        </w:tc>
        <w:tc>
          <w:tcPr>
            <w:tcW w:w="1843" w:type="dxa"/>
            <w:tcBorders>
              <w:top w:val="nil"/>
              <w:left w:val="nil"/>
              <w:bottom w:val="single" w:sz="4" w:space="0" w:color="auto"/>
              <w:right w:val="single" w:sz="4" w:space="0" w:color="auto"/>
            </w:tcBorders>
            <w:shd w:val="clear" w:color="auto" w:fill="auto"/>
            <w:noWrap/>
            <w:vAlign w:val="center"/>
            <w:hideMark/>
          </w:tcPr>
          <w:p w14:paraId="6003F68F" w14:textId="77777777" w:rsidR="00907B1E" w:rsidRPr="007F2D4C" w:rsidRDefault="00907B1E">
            <w:pPr>
              <w:jc w:val="right"/>
              <w:rPr>
                <w:sz w:val="20"/>
                <w:szCs w:val="20"/>
              </w:rPr>
            </w:pPr>
            <w:r w:rsidRPr="007F2D4C">
              <w:rPr>
                <w:sz w:val="20"/>
                <w:szCs w:val="20"/>
              </w:rPr>
              <w:t>525.000.000,00</w:t>
            </w:r>
          </w:p>
        </w:tc>
      </w:tr>
      <w:tr w:rsidR="00907B1E" w:rsidRPr="007F2D4C" w14:paraId="0DC0ACFA"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6C0D4C90" w14:textId="77777777" w:rsidR="00907B1E" w:rsidRPr="007F2D4C" w:rsidRDefault="00907B1E">
            <w:pPr>
              <w:jc w:val="center"/>
              <w:rPr>
                <w:sz w:val="20"/>
                <w:szCs w:val="20"/>
              </w:rPr>
            </w:pPr>
            <w:r w:rsidRPr="007F2D4C">
              <w:rPr>
                <w:sz w:val="20"/>
                <w:szCs w:val="20"/>
              </w:rPr>
              <w:t>22.</w:t>
            </w:r>
          </w:p>
        </w:tc>
        <w:tc>
          <w:tcPr>
            <w:tcW w:w="3144" w:type="dxa"/>
            <w:tcBorders>
              <w:top w:val="nil"/>
              <w:left w:val="nil"/>
              <w:bottom w:val="single" w:sz="4" w:space="0" w:color="auto"/>
              <w:right w:val="single" w:sz="4" w:space="0" w:color="auto"/>
            </w:tcBorders>
            <w:shd w:val="clear" w:color="auto" w:fill="auto"/>
            <w:noWrap/>
            <w:vAlign w:val="center"/>
            <w:hideMark/>
          </w:tcPr>
          <w:p w14:paraId="553F202E" w14:textId="77777777" w:rsidR="00907B1E" w:rsidRPr="007F2D4C" w:rsidRDefault="00907B1E">
            <w:pPr>
              <w:rPr>
                <w:sz w:val="20"/>
                <w:szCs w:val="20"/>
              </w:rPr>
            </w:pPr>
            <w:r w:rsidRPr="007F2D4C">
              <w:rPr>
                <w:sz w:val="20"/>
                <w:szCs w:val="20"/>
              </w:rPr>
              <w:t xml:space="preserve">ZABA kredit 2 </w:t>
            </w:r>
            <w:proofErr w:type="spellStart"/>
            <w:r w:rsidRPr="007F2D4C">
              <w:rPr>
                <w:sz w:val="20"/>
                <w:szCs w:val="20"/>
              </w:rPr>
              <w:t>mlrd</w:t>
            </w:r>
            <w:proofErr w:type="spellEnd"/>
            <w:r w:rsidRPr="007F2D4C">
              <w:rPr>
                <w:sz w:val="20"/>
                <w:szCs w:val="20"/>
              </w:rPr>
              <w:t xml:space="preserve"> I HRK 2026</w:t>
            </w:r>
          </w:p>
        </w:tc>
        <w:tc>
          <w:tcPr>
            <w:tcW w:w="1134" w:type="dxa"/>
            <w:tcBorders>
              <w:top w:val="nil"/>
              <w:left w:val="nil"/>
              <w:bottom w:val="single" w:sz="4" w:space="0" w:color="auto"/>
              <w:right w:val="single" w:sz="4" w:space="0" w:color="auto"/>
            </w:tcBorders>
            <w:shd w:val="clear" w:color="auto" w:fill="auto"/>
            <w:noWrap/>
            <w:vAlign w:val="center"/>
            <w:hideMark/>
          </w:tcPr>
          <w:p w14:paraId="71C265E4"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49CBCC38"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2A666BDE" w14:textId="77777777" w:rsidR="00907B1E" w:rsidRPr="007F2D4C" w:rsidRDefault="00907B1E">
            <w:pPr>
              <w:jc w:val="right"/>
              <w:rPr>
                <w:sz w:val="20"/>
                <w:szCs w:val="20"/>
              </w:rPr>
            </w:pPr>
            <w:r w:rsidRPr="007F2D4C">
              <w:rPr>
                <w:sz w:val="20"/>
                <w:szCs w:val="20"/>
              </w:rPr>
              <w:t>1.800.000.000,00</w:t>
            </w:r>
          </w:p>
        </w:tc>
        <w:tc>
          <w:tcPr>
            <w:tcW w:w="1843" w:type="dxa"/>
            <w:tcBorders>
              <w:top w:val="nil"/>
              <w:left w:val="nil"/>
              <w:bottom w:val="single" w:sz="4" w:space="0" w:color="auto"/>
              <w:right w:val="single" w:sz="4" w:space="0" w:color="auto"/>
            </w:tcBorders>
            <w:shd w:val="clear" w:color="auto" w:fill="auto"/>
            <w:noWrap/>
            <w:vAlign w:val="center"/>
            <w:hideMark/>
          </w:tcPr>
          <w:p w14:paraId="3644F03A" w14:textId="77777777" w:rsidR="00907B1E" w:rsidRPr="007F2D4C" w:rsidRDefault="00907B1E">
            <w:pPr>
              <w:jc w:val="right"/>
              <w:rPr>
                <w:sz w:val="20"/>
                <w:szCs w:val="20"/>
              </w:rPr>
            </w:pPr>
            <w:r w:rsidRPr="007F2D4C">
              <w:rPr>
                <w:sz w:val="20"/>
                <w:szCs w:val="20"/>
              </w:rPr>
              <w:t>1.800.000.000,00</w:t>
            </w:r>
          </w:p>
        </w:tc>
      </w:tr>
      <w:tr w:rsidR="00907B1E" w:rsidRPr="007F2D4C" w14:paraId="3089C5D3" w14:textId="77777777" w:rsidTr="007F2D4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33B8A65F" w14:textId="77777777" w:rsidR="00907B1E" w:rsidRPr="007F2D4C" w:rsidRDefault="00907B1E">
            <w:pPr>
              <w:jc w:val="center"/>
              <w:rPr>
                <w:sz w:val="20"/>
                <w:szCs w:val="20"/>
              </w:rPr>
            </w:pPr>
            <w:r w:rsidRPr="007F2D4C">
              <w:rPr>
                <w:sz w:val="20"/>
                <w:szCs w:val="20"/>
              </w:rPr>
              <w:t>23.</w:t>
            </w:r>
          </w:p>
        </w:tc>
        <w:tc>
          <w:tcPr>
            <w:tcW w:w="3144" w:type="dxa"/>
            <w:tcBorders>
              <w:top w:val="nil"/>
              <w:left w:val="nil"/>
              <w:bottom w:val="single" w:sz="4" w:space="0" w:color="auto"/>
              <w:right w:val="single" w:sz="4" w:space="0" w:color="auto"/>
            </w:tcBorders>
            <w:shd w:val="clear" w:color="auto" w:fill="auto"/>
            <w:noWrap/>
            <w:vAlign w:val="center"/>
            <w:hideMark/>
          </w:tcPr>
          <w:p w14:paraId="4DD36327" w14:textId="77777777" w:rsidR="00907B1E" w:rsidRPr="007F2D4C" w:rsidRDefault="00907B1E">
            <w:pPr>
              <w:rPr>
                <w:sz w:val="20"/>
                <w:szCs w:val="20"/>
              </w:rPr>
            </w:pPr>
            <w:r w:rsidRPr="007F2D4C">
              <w:rPr>
                <w:sz w:val="20"/>
                <w:szCs w:val="20"/>
              </w:rPr>
              <w:t xml:space="preserve">ZABA kredit 3 </w:t>
            </w:r>
            <w:proofErr w:type="spellStart"/>
            <w:r w:rsidRPr="007F2D4C">
              <w:rPr>
                <w:sz w:val="20"/>
                <w:szCs w:val="20"/>
              </w:rPr>
              <w:t>mlrd</w:t>
            </w:r>
            <w:proofErr w:type="spellEnd"/>
            <w:r w:rsidRPr="007F2D4C">
              <w:rPr>
                <w:sz w:val="20"/>
                <w:szCs w:val="20"/>
              </w:rPr>
              <w:t xml:space="preserve"> I HRK 2026</w:t>
            </w:r>
          </w:p>
        </w:tc>
        <w:tc>
          <w:tcPr>
            <w:tcW w:w="1134" w:type="dxa"/>
            <w:tcBorders>
              <w:top w:val="nil"/>
              <w:left w:val="nil"/>
              <w:bottom w:val="single" w:sz="4" w:space="0" w:color="auto"/>
              <w:right w:val="single" w:sz="4" w:space="0" w:color="auto"/>
            </w:tcBorders>
            <w:shd w:val="clear" w:color="auto" w:fill="auto"/>
            <w:noWrap/>
            <w:vAlign w:val="center"/>
            <w:hideMark/>
          </w:tcPr>
          <w:p w14:paraId="418FA470" w14:textId="77777777" w:rsidR="00907B1E" w:rsidRPr="007F2D4C" w:rsidRDefault="00907B1E">
            <w:pPr>
              <w:jc w:val="center"/>
              <w:rPr>
                <w:sz w:val="20"/>
                <w:szCs w:val="20"/>
              </w:rPr>
            </w:pPr>
            <w:r w:rsidRPr="007F2D4C">
              <w:rPr>
                <w:sz w:val="20"/>
                <w:szCs w:val="20"/>
              </w:rPr>
              <w:t>ZABA</w:t>
            </w:r>
          </w:p>
        </w:tc>
        <w:tc>
          <w:tcPr>
            <w:tcW w:w="851" w:type="dxa"/>
            <w:tcBorders>
              <w:top w:val="nil"/>
              <w:left w:val="nil"/>
              <w:bottom w:val="single" w:sz="4" w:space="0" w:color="auto"/>
              <w:right w:val="single" w:sz="4" w:space="0" w:color="auto"/>
            </w:tcBorders>
            <w:shd w:val="clear" w:color="auto" w:fill="auto"/>
            <w:noWrap/>
            <w:vAlign w:val="center"/>
            <w:hideMark/>
          </w:tcPr>
          <w:p w14:paraId="3EA42B4A" w14:textId="77777777" w:rsidR="00907B1E" w:rsidRPr="007F2D4C" w:rsidRDefault="00907B1E">
            <w:pPr>
              <w:jc w:val="center"/>
              <w:rPr>
                <w:sz w:val="20"/>
                <w:szCs w:val="20"/>
              </w:rPr>
            </w:pPr>
            <w:r w:rsidRPr="007F2D4C">
              <w:rPr>
                <w:sz w:val="20"/>
                <w:szCs w:val="20"/>
              </w:rPr>
              <w:t>HRK</w:t>
            </w:r>
          </w:p>
        </w:tc>
        <w:tc>
          <w:tcPr>
            <w:tcW w:w="1842" w:type="dxa"/>
            <w:tcBorders>
              <w:top w:val="nil"/>
              <w:left w:val="nil"/>
              <w:bottom w:val="single" w:sz="4" w:space="0" w:color="auto"/>
              <w:right w:val="single" w:sz="4" w:space="0" w:color="auto"/>
            </w:tcBorders>
            <w:shd w:val="clear" w:color="auto" w:fill="auto"/>
            <w:noWrap/>
            <w:vAlign w:val="center"/>
            <w:hideMark/>
          </w:tcPr>
          <w:p w14:paraId="3B1D7E1D" w14:textId="77777777" w:rsidR="00907B1E" w:rsidRPr="007F2D4C" w:rsidRDefault="00907B1E">
            <w:pPr>
              <w:jc w:val="right"/>
              <w:rPr>
                <w:sz w:val="20"/>
                <w:szCs w:val="20"/>
              </w:rPr>
            </w:pPr>
            <w:r w:rsidRPr="007F2D4C">
              <w:rPr>
                <w:sz w:val="20"/>
                <w:szCs w:val="20"/>
              </w:rPr>
              <w:t>3.000.000.000,00</w:t>
            </w:r>
          </w:p>
        </w:tc>
        <w:tc>
          <w:tcPr>
            <w:tcW w:w="1843" w:type="dxa"/>
            <w:tcBorders>
              <w:top w:val="nil"/>
              <w:left w:val="nil"/>
              <w:bottom w:val="single" w:sz="4" w:space="0" w:color="auto"/>
              <w:right w:val="single" w:sz="4" w:space="0" w:color="auto"/>
            </w:tcBorders>
            <w:shd w:val="clear" w:color="auto" w:fill="auto"/>
            <w:noWrap/>
            <w:vAlign w:val="center"/>
            <w:hideMark/>
          </w:tcPr>
          <w:p w14:paraId="757BFC44" w14:textId="77777777" w:rsidR="00907B1E" w:rsidRPr="007F2D4C" w:rsidRDefault="00907B1E">
            <w:pPr>
              <w:jc w:val="right"/>
              <w:rPr>
                <w:sz w:val="20"/>
                <w:szCs w:val="20"/>
              </w:rPr>
            </w:pPr>
            <w:r w:rsidRPr="007F2D4C">
              <w:rPr>
                <w:sz w:val="20"/>
                <w:szCs w:val="20"/>
              </w:rPr>
              <w:t>3.000.000.000,00</w:t>
            </w:r>
          </w:p>
        </w:tc>
      </w:tr>
      <w:tr w:rsidR="00907B1E" w:rsidRPr="007F2D4C" w14:paraId="4CFB26BF" w14:textId="77777777" w:rsidTr="007F2D4C">
        <w:trPr>
          <w:trHeight w:val="270"/>
          <w:jc w:val="center"/>
        </w:trPr>
        <w:tc>
          <w:tcPr>
            <w:tcW w:w="125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076F2B7" w14:textId="77777777" w:rsidR="00907B1E" w:rsidRPr="007F2D4C" w:rsidRDefault="00907B1E">
            <w:pPr>
              <w:jc w:val="center"/>
              <w:rPr>
                <w:b/>
                <w:bCs/>
                <w:sz w:val="20"/>
                <w:szCs w:val="20"/>
              </w:rPr>
            </w:pPr>
            <w:r w:rsidRPr="007F2D4C">
              <w:rPr>
                <w:b/>
                <w:bCs/>
                <w:sz w:val="20"/>
                <w:szCs w:val="20"/>
              </w:rPr>
              <w:t>UKUPNO</w:t>
            </w:r>
          </w:p>
        </w:tc>
        <w:tc>
          <w:tcPr>
            <w:tcW w:w="3144" w:type="dxa"/>
            <w:tcBorders>
              <w:top w:val="double" w:sz="6" w:space="0" w:color="auto"/>
              <w:left w:val="nil"/>
              <w:bottom w:val="double" w:sz="6" w:space="0" w:color="auto"/>
              <w:right w:val="double" w:sz="6" w:space="0" w:color="auto"/>
            </w:tcBorders>
            <w:shd w:val="clear" w:color="auto" w:fill="auto"/>
            <w:noWrap/>
            <w:vAlign w:val="center"/>
            <w:hideMark/>
          </w:tcPr>
          <w:p w14:paraId="5E4A1FC2" w14:textId="77777777" w:rsidR="00907B1E" w:rsidRPr="007F2D4C" w:rsidRDefault="00907B1E">
            <w:pPr>
              <w:rPr>
                <w:sz w:val="20"/>
                <w:szCs w:val="20"/>
              </w:rPr>
            </w:pPr>
            <w:r w:rsidRPr="007F2D4C">
              <w:rPr>
                <w:sz w:val="20"/>
                <w:szCs w:val="20"/>
              </w:rPr>
              <w:t> </w:t>
            </w:r>
          </w:p>
        </w:tc>
        <w:tc>
          <w:tcPr>
            <w:tcW w:w="1134" w:type="dxa"/>
            <w:tcBorders>
              <w:top w:val="double" w:sz="6" w:space="0" w:color="auto"/>
              <w:left w:val="nil"/>
              <w:bottom w:val="double" w:sz="6" w:space="0" w:color="auto"/>
              <w:right w:val="double" w:sz="6" w:space="0" w:color="auto"/>
            </w:tcBorders>
            <w:shd w:val="clear" w:color="auto" w:fill="auto"/>
            <w:noWrap/>
            <w:vAlign w:val="center"/>
            <w:hideMark/>
          </w:tcPr>
          <w:p w14:paraId="5CB1480A" w14:textId="77777777" w:rsidR="00907B1E" w:rsidRPr="007F2D4C" w:rsidRDefault="00907B1E">
            <w:pPr>
              <w:rPr>
                <w:sz w:val="20"/>
                <w:szCs w:val="20"/>
              </w:rPr>
            </w:pPr>
            <w:r w:rsidRPr="007F2D4C">
              <w:rPr>
                <w:sz w:val="20"/>
                <w:szCs w:val="20"/>
              </w:rPr>
              <w:t> </w:t>
            </w:r>
          </w:p>
        </w:tc>
        <w:tc>
          <w:tcPr>
            <w:tcW w:w="851" w:type="dxa"/>
            <w:tcBorders>
              <w:top w:val="double" w:sz="6" w:space="0" w:color="auto"/>
              <w:left w:val="nil"/>
              <w:bottom w:val="double" w:sz="6" w:space="0" w:color="auto"/>
              <w:right w:val="double" w:sz="6" w:space="0" w:color="auto"/>
            </w:tcBorders>
            <w:shd w:val="clear" w:color="auto" w:fill="auto"/>
            <w:noWrap/>
            <w:vAlign w:val="center"/>
            <w:hideMark/>
          </w:tcPr>
          <w:p w14:paraId="18259D6C" w14:textId="77777777" w:rsidR="00907B1E" w:rsidRPr="007F2D4C" w:rsidRDefault="00907B1E">
            <w:pPr>
              <w:jc w:val="center"/>
              <w:rPr>
                <w:b/>
                <w:bCs/>
                <w:sz w:val="20"/>
                <w:szCs w:val="20"/>
              </w:rPr>
            </w:pPr>
            <w:r w:rsidRPr="007F2D4C">
              <w:rPr>
                <w:b/>
                <w:bCs/>
                <w:sz w:val="20"/>
                <w:szCs w:val="20"/>
              </w:rPr>
              <w:t>EUR</w:t>
            </w:r>
          </w:p>
        </w:tc>
        <w:tc>
          <w:tcPr>
            <w:tcW w:w="1842" w:type="dxa"/>
            <w:tcBorders>
              <w:top w:val="double" w:sz="6" w:space="0" w:color="auto"/>
              <w:left w:val="nil"/>
              <w:bottom w:val="double" w:sz="6" w:space="0" w:color="auto"/>
              <w:right w:val="double" w:sz="6" w:space="0" w:color="auto"/>
            </w:tcBorders>
            <w:shd w:val="clear" w:color="auto" w:fill="auto"/>
            <w:noWrap/>
            <w:vAlign w:val="center"/>
            <w:hideMark/>
          </w:tcPr>
          <w:p w14:paraId="76150063" w14:textId="77777777" w:rsidR="00907B1E" w:rsidRPr="007F2D4C" w:rsidRDefault="00907B1E">
            <w:pPr>
              <w:jc w:val="right"/>
              <w:rPr>
                <w:b/>
                <w:bCs/>
                <w:sz w:val="20"/>
                <w:szCs w:val="20"/>
              </w:rPr>
            </w:pPr>
            <w:r w:rsidRPr="007F2D4C">
              <w:rPr>
                <w:b/>
                <w:bCs/>
                <w:sz w:val="20"/>
                <w:szCs w:val="20"/>
              </w:rPr>
              <w:t>731.560.175,40</w:t>
            </w:r>
          </w:p>
        </w:tc>
        <w:tc>
          <w:tcPr>
            <w:tcW w:w="1843" w:type="dxa"/>
            <w:tcBorders>
              <w:top w:val="double" w:sz="6" w:space="0" w:color="auto"/>
              <w:left w:val="nil"/>
              <w:bottom w:val="double" w:sz="6" w:space="0" w:color="auto"/>
              <w:right w:val="double" w:sz="6" w:space="0" w:color="auto"/>
            </w:tcBorders>
            <w:shd w:val="clear" w:color="auto" w:fill="auto"/>
            <w:noWrap/>
            <w:vAlign w:val="center"/>
            <w:hideMark/>
          </w:tcPr>
          <w:p w14:paraId="1EBCD319" w14:textId="77777777" w:rsidR="00907B1E" w:rsidRPr="007F2D4C" w:rsidRDefault="00907B1E">
            <w:pPr>
              <w:jc w:val="right"/>
              <w:rPr>
                <w:b/>
                <w:bCs/>
                <w:sz w:val="20"/>
                <w:szCs w:val="20"/>
              </w:rPr>
            </w:pPr>
            <w:r w:rsidRPr="007F2D4C">
              <w:rPr>
                <w:b/>
                <w:bCs/>
                <w:sz w:val="20"/>
                <w:szCs w:val="20"/>
              </w:rPr>
              <w:t>5.499.262.203,71</w:t>
            </w:r>
          </w:p>
        </w:tc>
      </w:tr>
      <w:tr w:rsidR="00907B1E" w:rsidRPr="007F2D4C" w14:paraId="70B9096B" w14:textId="77777777" w:rsidTr="007F2D4C">
        <w:trPr>
          <w:trHeight w:val="270"/>
          <w:jc w:val="center"/>
        </w:trPr>
        <w:tc>
          <w:tcPr>
            <w:tcW w:w="1251" w:type="dxa"/>
            <w:tcBorders>
              <w:top w:val="nil"/>
              <w:left w:val="double" w:sz="6" w:space="0" w:color="auto"/>
              <w:bottom w:val="double" w:sz="6" w:space="0" w:color="auto"/>
              <w:right w:val="double" w:sz="6" w:space="0" w:color="auto"/>
            </w:tcBorders>
            <w:shd w:val="clear" w:color="auto" w:fill="auto"/>
            <w:noWrap/>
            <w:vAlign w:val="center"/>
            <w:hideMark/>
          </w:tcPr>
          <w:p w14:paraId="5A0A3DDC" w14:textId="77777777" w:rsidR="00907B1E" w:rsidRPr="007F2D4C" w:rsidRDefault="00907B1E">
            <w:pPr>
              <w:jc w:val="center"/>
              <w:rPr>
                <w:b/>
                <w:bCs/>
                <w:sz w:val="20"/>
                <w:szCs w:val="20"/>
              </w:rPr>
            </w:pPr>
            <w:r w:rsidRPr="007F2D4C">
              <w:rPr>
                <w:b/>
                <w:bCs/>
                <w:sz w:val="20"/>
                <w:szCs w:val="20"/>
              </w:rPr>
              <w:t>UKUPNO</w:t>
            </w:r>
          </w:p>
        </w:tc>
        <w:tc>
          <w:tcPr>
            <w:tcW w:w="3144" w:type="dxa"/>
            <w:tcBorders>
              <w:top w:val="nil"/>
              <w:left w:val="nil"/>
              <w:bottom w:val="double" w:sz="6" w:space="0" w:color="auto"/>
              <w:right w:val="double" w:sz="6" w:space="0" w:color="auto"/>
            </w:tcBorders>
            <w:shd w:val="clear" w:color="auto" w:fill="auto"/>
            <w:noWrap/>
            <w:vAlign w:val="center"/>
            <w:hideMark/>
          </w:tcPr>
          <w:p w14:paraId="55F3FDE8" w14:textId="77777777" w:rsidR="00907B1E" w:rsidRPr="007F2D4C" w:rsidRDefault="00907B1E">
            <w:pPr>
              <w:rPr>
                <w:sz w:val="20"/>
                <w:szCs w:val="20"/>
              </w:rPr>
            </w:pPr>
            <w:r w:rsidRPr="007F2D4C">
              <w:rPr>
                <w:sz w:val="20"/>
                <w:szCs w:val="20"/>
              </w:rPr>
              <w:t> </w:t>
            </w:r>
          </w:p>
        </w:tc>
        <w:tc>
          <w:tcPr>
            <w:tcW w:w="1134" w:type="dxa"/>
            <w:tcBorders>
              <w:top w:val="nil"/>
              <w:left w:val="nil"/>
              <w:bottom w:val="double" w:sz="6" w:space="0" w:color="auto"/>
              <w:right w:val="double" w:sz="6" w:space="0" w:color="auto"/>
            </w:tcBorders>
            <w:shd w:val="clear" w:color="auto" w:fill="auto"/>
            <w:noWrap/>
            <w:vAlign w:val="center"/>
            <w:hideMark/>
          </w:tcPr>
          <w:p w14:paraId="0C609715" w14:textId="77777777" w:rsidR="00907B1E" w:rsidRPr="007F2D4C" w:rsidRDefault="00907B1E">
            <w:pPr>
              <w:rPr>
                <w:sz w:val="20"/>
                <w:szCs w:val="20"/>
              </w:rPr>
            </w:pPr>
            <w:r w:rsidRPr="007F2D4C">
              <w:rPr>
                <w:sz w:val="20"/>
                <w:szCs w:val="20"/>
              </w:rPr>
              <w:t> </w:t>
            </w:r>
          </w:p>
        </w:tc>
        <w:tc>
          <w:tcPr>
            <w:tcW w:w="851" w:type="dxa"/>
            <w:tcBorders>
              <w:top w:val="nil"/>
              <w:left w:val="nil"/>
              <w:bottom w:val="double" w:sz="6" w:space="0" w:color="auto"/>
              <w:right w:val="double" w:sz="6" w:space="0" w:color="auto"/>
            </w:tcBorders>
            <w:shd w:val="clear" w:color="auto" w:fill="auto"/>
            <w:noWrap/>
            <w:vAlign w:val="center"/>
            <w:hideMark/>
          </w:tcPr>
          <w:p w14:paraId="7090C662" w14:textId="77777777" w:rsidR="00907B1E" w:rsidRPr="007F2D4C" w:rsidRDefault="00907B1E">
            <w:pPr>
              <w:jc w:val="center"/>
              <w:rPr>
                <w:b/>
                <w:bCs/>
                <w:sz w:val="20"/>
                <w:szCs w:val="20"/>
              </w:rPr>
            </w:pPr>
            <w:r w:rsidRPr="007F2D4C">
              <w:rPr>
                <w:b/>
                <w:bCs/>
                <w:sz w:val="20"/>
                <w:szCs w:val="20"/>
              </w:rPr>
              <w:t>HRK</w:t>
            </w:r>
          </w:p>
        </w:tc>
        <w:tc>
          <w:tcPr>
            <w:tcW w:w="1842" w:type="dxa"/>
            <w:tcBorders>
              <w:top w:val="nil"/>
              <w:left w:val="nil"/>
              <w:bottom w:val="double" w:sz="6" w:space="0" w:color="auto"/>
              <w:right w:val="double" w:sz="6" w:space="0" w:color="auto"/>
            </w:tcBorders>
            <w:shd w:val="clear" w:color="auto" w:fill="auto"/>
            <w:noWrap/>
            <w:vAlign w:val="center"/>
            <w:hideMark/>
          </w:tcPr>
          <w:p w14:paraId="7D17A1EC" w14:textId="77777777" w:rsidR="00907B1E" w:rsidRPr="007F2D4C" w:rsidRDefault="00907B1E">
            <w:pPr>
              <w:jc w:val="right"/>
              <w:rPr>
                <w:b/>
                <w:bCs/>
                <w:sz w:val="20"/>
                <w:szCs w:val="20"/>
              </w:rPr>
            </w:pPr>
            <w:r w:rsidRPr="007F2D4C">
              <w:rPr>
                <w:b/>
                <w:bCs/>
                <w:sz w:val="20"/>
                <w:szCs w:val="20"/>
              </w:rPr>
              <w:t>13.979.939.438,01</w:t>
            </w:r>
          </w:p>
        </w:tc>
        <w:tc>
          <w:tcPr>
            <w:tcW w:w="1843" w:type="dxa"/>
            <w:tcBorders>
              <w:top w:val="nil"/>
              <w:left w:val="nil"/>
              <w:bottom w:val="double" w:sz="6" w:space="0" w:color="auto"/>
              <w:right w:val="double" w:sz="6" w:space="0" w:color="auto"/>
            </w:tcBorders>
            <w:shd w:val="clear" w:color="auto" w:fill="auto"/>
            <w:noWrap/>
            <w:vAlign w:val="center"/>
            <w:hideMark/>
          </w:tcPr>
          <w:p w14:paraId="0EABD28C" w14:textId="77777777" w:rsidR="00907B1E" w:rsidRPr="007F2D4C" w:rsidRDefault="00907B1E">
            <w:pPr>
              <w:jc w:val="right"/>
              <w:rPr>
                <w:b/>
                <w:bCs/>
                <w:sz w:val="20"/>
                <w:szCs w:val="20"/>
              </w:rPr>
            </w:pPr>
            <w:r w:rsidRPr="007F2D4C">
              <w:rPr>
                <w:b/>
                <w:bCs/>
                <w:sz w:val="20"/>
                <w:szCs w:val="20"/>
              </w:rPr>
              <w:t>13.979.939.438,01</w:t>
            </w:r>
          </w:p>
        </w:tc>
      </w:tr>
      <w:tr w:rsidR="00E10F3B" w:rsidRPr="007F2D4C" w14:paraId="2185A313" w14:textId="77777777" w:rsidTr="00422FDD">
        <w:trPr>
          <w:trHeight w:val="270"/>
          <w:jc w:val="center"/>
        </w:trPr>
        <w:tc>
          <w:tcPr>
            <w:tcW w:w="8222" w:type="dxa"/>
            <w:gridSpan w:val="5"/>
            <w:tcBorders>
              <w:top w:val="nil"/>
              <w:left w:val="double" w:sz="6" w:space="0" w:color="auto"/>
              <w:bottom w:val="double" w:sz="6" w:space="0" w:color="auto"/>
              <w:right w:val="double" w:sz="6" w:space="0" w:color="auto"/>
            </w:tcBorders>
            <w:shd w:val="clear" w:color="auto" w:fill="auto"/>
            <w:noWrap/>
            <w:vAlign w:val="center"/>
          </w:tcPr>
          <w:p w14:paraId="47AE405E" w14:textId="77777777" w:rsidR="00E10F3B" w:rsidRPr="007F2D4C" w:rsidRDefault="00E10F3B">
            <w:pPr>
              <w:jc w:val="right"/>
              <w:rPr>
                <w:b/>
                <w:bCs/>
                <w:sz w:val="20"/>
                <w:szCs w:val="20"/>
              </w:rPr>
            </w:pPr>
          </w:p>
        </w:tc>
        <w:tc>
          <w:tcPr>
            <w:tcW w:w="1843" w:type="dxa"/>
            <w:tcBorders>
              <w:top w:val="nil"/>
              <w:left w:val="nil"/>
              <w:bottom w:val="double" w:sz="6" w:space="0" w:color="auto"/>
              <w:right w:val="double" w:sz="6" w:space="0" w:color="auto"/>
            </w:tcBorders>
            <w:shd w:val="clear" w:color="auto" w:fill="auto"/>
            <w:noWrap/>
            <w:vAlign w:val="center"/>
          </w:tcPr>
          <w:p w14:paraId="02E836A9" w14:textId="0C2D1AE6" w:rsidR="00E10F3B" w:rsidRPr="007F2D4C" w:rsidRDefault="00E10F3B">
            <w:pPr>
              <w:jc w:val="right"/>
              <w:rPr>
                <w:b/>
                <w:bCs/>
                <w:sz w:val="20"/>
                <w:szCs w:val="20"/>
              </w:rPr>
            </w:pPr>
            <w:r w:rsidRPr="00E10F3B">
              <w:rPr>
                <w:b/>
                <w:bCs/>
                <w:sz w:val="20"/>
                <w:szCs w:val="20"/>
              </w:rPr>
              <w:t>19.479.201.641,72</w:t>
            </w:r>
          </w:p>
        </w:tc>
      </w:tr>
    </w:tbl>
    <w:p w14:paraId="055B05F0" w14:textId="437983B6" w:rsidR="00D51720" w:rsidRDefault="00D51720" w:rsidP="00FD52B0">
      <w:pPr>
        <w:autoSpaceDE w:val="0"/>
        <w:autoSpaceDN w:val="0"/>
        <w:adjustRightInd w:val="0"/>
        <w:jc w:val="both"/>
        <w:rPr>
          <w:rFonts w:eastAsia="Calibri"/>
          <w:bCs/>
          <w:highlight w:val="red"/>
        </w:rPr>
      </w:pPr>
    </w:p>
    <w:p w14:paraId="27BEBF33" w14:textId="77777777" w:rsidR="007938BE" w:rsidRPr="007F29AC" w:rsidRDefault="007938BE" w:rsidP="00FD52B0">
      <w:pPr>
        <w:autoSpaceDE w:val="0"/>
        <w:autoSpaceDN w:val="0"/>
        <w:adjustRightInd w:val="0"/>
        <w:jc w:val="both"/>
        <w:rPr>
          <w:rFonts w:eastAsia="Calibri"/>
          <w:bCs/>
          <w:highlight w:val="red"/>
        </w:rPr>
      </w:pPr>
    </w:p>
    <w:p w14:paraId="062E0205" w14:textId="63CA79B9" w:rsidR="00D42A73" w:rsidRPr="00D42A73" w:rsidRDefault="00ED1991" w:rsidP="00D42A73">
      <w:pPr>
        <w:keepNext/>
        <w:jc w:val="both"/>
        <w:rPr>
          <w:b/>
          <w:sz w:val="20"/>
          <w:szCs w:val="20"/>
        </w:rPr>
      </w:pPr>
      <w:r>
        <w:rPr>
          <w:b/>
          <w:sz w:val="20"/>
          <w:szCs w:val="20"/>
        </w:rPr>
        <w:t>Tablica 13</w:t>
      </w:r>
      <w:r w:rsidR="00D42A73" w:rsidRPr="00D42A73">
        <w:rPr>
          <w:b/>
          <w:sz w:val="20"/>
          <w:szCs w:val="20"/>
        </w:rPr>
        <w:t>.</w:t>
      </w:r>
    </w:p>
    <w:tbl>
      <w:tblPr>
        <w:tblW w:w="9372" w:type="dxa"/>
        <w:tblLook w:val="04A0" w:firstRow="1" w:lastRow="0" w:firstColumn="1" w:lastColumn="0" w:noHBand="0" w:noVBand="1"/>
      </w:tblPr>
      <w:tblGrid>
        <w:gridCol w:w="1489"/>
        <w:gridCol w:w="3696"/>
        <w:gridCol w:w="1061"/>
        <w:gridCol w:w="1410"/>
        <w:gridCol w:w="1716"/>
      </w:tblGrid>
      <w:tr w:rsidR="00252AFC" w:rsidRPr="007F2D4C" w14:paraId="5AB3878A" w14:textId="77777777" w:rsidTr="00252AFC">
        <w:trPr>
          <w:trHeight w:val="1020"/>
        </w:trPr>
        <w:tc>
          <w:tcPr>
            <w:tcW w:w="14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B30D45" w14:textId="77777777" w:rsidR="00252AFC" w:rsidRPr="007F2D4C" w:rsidRDefault="00252AFC">
            <w:pPr>
              <w:jc w:val="center"/>
              <w:rPr>
                <w:b/>
                <w:bCs/>
                <w:sz w:val="20"/>
                <w:szCs w:val="20"/>
              </w:rPr>
            </w:pPr>
            <w:r w:rsidRPr="007F2D4C">
              <w:rPr>
                <w:b/>
                <w:bCs/>
                <w:sz w:val="20"/>
                <w:szCs w:val="20"/>
              </w:rPr>
              <w:t>REDNI BROJ</w:t>
            </w:r>
          </w:p>
        </w:tc>
        <w:tc>
          <w:tcPr>
            <w:tcW w:w="3696" w:type="dxa"/>
            <w:tcBorders>
              <w:top w:val="single" w:sz="4" w:space="0" w:color="auto"/>
              <w:left w:val="nil"/>
              <w:bottom w:val="single" w:sz="4" w:space="0" w:color="auto"/>
              <w:right w:val="single" w:sz="4" w:space="0" w:color="auto"/>
            </w:tcBorders>
            <w:shd w:val="clear" w:color="000000" w:fill="D9D9D9"/>
            <w:vAlign w:val="center"/>
            <w:hideMark/>
          </w:tcPr>
          <w:p w14:paraId="5C11021C" w14:textId="77777777" w:rsidR="00252AFC" w:rsidRPr="007F2D4C" w:rsidRDefault="00252AFC">
            <w:pPr>
              <w:jc w:val="center"/>
              <w:rPr>
                <w:b/>
                <w:bCs/>
                <w:sz w:val="20"/>
                <w:szCs w:val="20"/>
              </w:rPr>
            </w:pPr>
            <w:r w:rsidRPr="007F2D4C">
              <w:rPr>
                <w:b/>
                <w:bCs/>
                <w:sz w:val="20"/>
                <w:szCs w:val="20"/>
              </w:rPr>
              <w:t>OPIS</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138AC830" w14:textId="77777777" w:rsidR="00252AFC" w:rsidRPr="007F2D4C" w:rsidRDefault="00252AFC">
            <w:pPr>
              <w:jc w:val="center"/>
              <w:rPr>
                <w:b/>
                <w:bCs/>
                <w:sz w:val="20"/>
                <w:szCs w:val="20"/>
              </w:rPr>
            </w:pPr>
            <w:r w:rsidRPr="007F2D4C">
              <w:rPr>
                <w:b/>
                <w:bCs/>
                <w:sz w:val="20"/>
                <w:szCs w:val="20"/>
              </w:rPr>
              <w:t>VALUTA</w:t>
            </w:r>
          </w:p>
        </w:tc>
        <w:tc>
          <w:tcPr>
            <w:tcW w:w="1410" w:type="dxa"/>
            <w:tcBorders>
              <w:top w:val="single" w:sz="4" w:space="0" w:color="auto"/>
              <w:left w:val="nil"/>
              <w:bottom w:val="single" w:sz="4" w:space="0" w:color="auto"/>
              <w:right w:val="single" w:sz="4" w:space="0" w:color="auto"/>
            </w:tcBorders>
            <w:shd w:val="clear" w:color="000000" w:fill="D9D9D9"/>
            <w:vAlign w:val="center"/>
            <w:hideMark/>
          </w:tcPr>
          <w:p w14:paraId="4E2E8F03" w14:textId="77777777" w:rsidR="00252AFC" w:rsidRPr="007F2D4C" w:rsidRDefault="00252AFC">
            <w:pPr>
              <w:jc w:val="center"/>
              <w:rPr>
                <w:b/>
                <w:bCs/>
                <w:sz w:val="20"/>
                <w:szCs w:val="20"/>
              </w:rPr>
            </w:pPr>
            <w:r w:rsidRPr="007F2D4C">
              <w:rPr>
                <w:b/>
                <w:bCs/>
                <w:sz w:val="20"/>
                <w:szCs w:val="20"/>
              </w:rPr>
              <w:t>STANJE OBVEZA NA 31.12.2021. U EUR</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6B313B0E" w14:textId="4E1B55A0" w:rsidR="00252AFC" w:rsidRPr="007F2D4C" w:rsidRDefault="00252AFC">
            <w:pPr>
              <w:jc w:val="center"/>
              <w:rPr>
                <w:b/>
                <w:bCs/>
                <w:sz w:val="20"/>
                <w:szCs w:val="20"/>
              </w:rPr>
            </w:pPr>
            <w:r w:rsidRPr="007F2D4C">
              <w:rPr>
                <w:b/>
                <w:bCs/>
                <w:sz w:val="20"/>
                <w:szCs w:val="20"/>
              </w:rPr>
              <w:t>STANJE OBVEZA NA 31.12.2021. U HRK</w:t>
            </w:r>
          </w:p>
        </w:tc>
      </w:tr>
      <w:tr w:rsidR="00252AFC" w:rsidRPr="007F2D4C" w14:paraId="14698299"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346391ED" w14:textId="77777777" w:rsidR="00252AFC" w:rsidRPr="007F2D4C" w:rsidRDefault="00252AFC">
            <w:pPr>
              <w:jc w:val="center"/>
              <w:rPr>
                <w:sz w:val="20"/>
                <w:szCs w:val="20"/>
              </w:rPr>
            </w:pPr>
            <w:r w:rsidRPr="007F2D4C">
              <w:rPr>
                <w:sz w:val="20"/>
                <w:szCs w:val="20"/>
              </w:rPr>
              <w:t>1.</w:t>
            </w:r>
          </w:p>
        </w:tc>
        <w:tc>
          <w:tcPr>
            <w:tcW w:w="3696" w:type="dxa"/>
            <w:tcBorders>
              <w:top w:val="nil"/>
              <w:left w:val="nil"/>
              <w:bottom w:val="single" w:sz="4" w:space="0" w:color="auto"/>
              <w:right w:val="single" w:sz="4" w:space="0" w:color="auto"/>
            </w:tcBorders>
            <w:shd w:val="clear" w:color="auto" w:fill="auto"/>
            <w:vAlign w:val="center"/>
            <w:hideMark/>
          </w:tcPr>
          <w:p w14:paraId="6AE1EDF0" w14:textId="77777777" w:rsidR="00252AFC" w:rsidRPr="007F2D4C" w:rsidRDefault="00252AFC">
            <w:pPr>
              <w:jc w:val="center"/>
              <w:rPr>
                <w:sz w:val="20"/>
                <w:szCs w:val="20"/>
              </w:rPr>
            </w:pPr>
            <w:r w:rsidRPr="007F2D4C">
              <w:rPr>
                <w:sz w:val="20"/>
                <w:szCs w:val="20"/>
              </w:rPr>
              <w:t>Sveučilište u Rijeci - ZABA - partija kredita 5100231949</w:t>
            </w:r>
          </w:p>
        </w:tc>
        <w:tc>
          <w:tcPr>
            <w:tcW w:w="1061" w:type="dxa"/>
            <w:tcBorders>
              <w:top w:val="nil"/>
              <w:left w:val="nil"/>
              <w:bottom w:val="single" w:sz="4" w:space="0" w:color="auto"/>
              <w:right w:val="single" w:sz="4" w:space="0" w:color="auto"/>
            </w:tcBorders>
            <w:shd w:val="clear" w:color="auto" w:fill="auto"/>
            <w:vAlign w:val="center"/>
            <w:hideMark/>
          </w:tcPr>
          <w:p w14:paraId="7871FCE8" w14:textId="77777777" w:rsidR="00252AFC" w:rsidRPr="007F2D4C" w:rsidRDefault="00252AFC">
            <w:pPr>
              <w:jc w:val="center"/>
              <w:rPr>
                <w:sz w:val="20"/>
                <w:szCs w:val="20"/>
              </w:rPr>
            </w:pPr>
            <w:r w:rsidRPr="007F2D4C">
              <w:rPr>
                <w:sz w:val="20"/>
                <w:szCs w:val="20"/>
              </w:rPr>
              <w:t>EUR</w:t>
            </w:r>
          </w:p>
        </w:tc>
        <w:tc>
          <w:tcPr>
            <w:tcW w:w="1410" w:type="dxa"/>
            <w:tcBorders>
              <w:top w:val="nil"/>
              <w:left w:val="nil"/>
              <w:bottom w:val="single" w:sz="4" w:space="0" w:color="auto"/>
              <w:right w:val="single" w:sz="4" w:space="0" w:color="auto"/>
            </w:tcBorders>
            <w:shd w:val="clear" w:color="000000" w:fill="D9D9D9"/>
            <w:vAlign w:val="center"/>
            <w:hideMark/>
          </w:tcPr>
          <w:p w14:paraId="48003FB3" w14:textId="77777777" w:rsidR="00252AFC" w:rsidRPr="007F2D4C" w:rsidRDefault="00252AFC">
            <w:pPr>
              <w:jc w:val="right"/>
              <w:rPr>
                <w:sz w:val="20"/>
                <w:szCs w:val="20"/>
              </w:rPr>
            </w:pPr>
            <w:r w:rsidRPr="007F2D4C">
              <w:rPr>
                <w:sz w:val="20"/>
                <w:szCs w:val="20"/>
              </w:rPr>
              <w:t>1.621.879,23</w:t>
            </w:r>
          </w:p>
        </w:tc>
        <w:tc>
          <w:tcPr>
            <w:tcW w:w="1716" w:type="dxa"/>
            <w:tcBorders>
              <w:top w:val="nil"/>
              <w:left w:val="nil"/>
              <w:bottom w:val="single" w:sz="4" w:space="0" w:color="auto"/>
              <w:right w:val="single" w:sz="4" w:space="0" w:color="auto"/>
            </w:tcBorders>
            <w:shd w:val="clear" w:color="auto" w:fill="auto"/>
            <w:vAlign w:val="center"/>
            <w:hideMark/>
          </w:tcPr>
          <w:p w14:paraId="4C9893C3" w14:textId="4B6AFC71" w:rsidR="00252AFC" w:rsidRPr="007F2D4C" w:rsidRDefault="00252AFC">
            <w:pPr>
              <w:jc w:val="right"/>
              <w:rPr>
                <w:sz w:val="20"/>
                <w:szCs w:val="20"/>
              </w:rPr>
            </w:pPr>
            <w:r w:rsidRPr="007F2D4C">
              <w:rPr>
                <w:sz w:val="20"/>
                <w:szCs w:val="20"/>
              </w:rPr>
              <w:t>12.191.948,16</w:t>
            </w:r>
          </w:p>
        </w:tc>
      </w:tr>
      <w:tr w:rsidR="00252AFC" w:rsidRPr="007F2D4C" w14:paraId="73089C9E"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EC3EA7F" w14:textId="77777777" w:rsidR="00252AFC" w:rsidRPr="007F2D4C" w:rsidRDefault="00252AFC">
            <w:pPr>
              <w:jc w:val="center"/>
              <w:rPr>
                <w:sz w:val="20"/>
                <w:szCs w:val="20"/>
              </w:rPr>
            </w:pPr>
            <w:r w:rsidRPr="007F2D4C">
              <w:rPr>
                <w:sz w:val="20"/>
                <w:szCs w:val="20"/>
              </w:rPr>
              <w:t>2.</w:t>
            </w:r>
          </w:p>
        </w:tc>
        <w:tc>
          <w:tcPr>
            <w:tcW w:w="3696" w:type="dxa"/>
            <w:tcBorders>
              <w:top w:val="nil"/>
              <w:left w:val="nil"/>
              <w:bottom w:val="single" w:sz="4" w:space="0" w:color="auto"/>
              <w:right w:val="single" w:sz="4" w:space="0" w:color="auto"/>
            </w:tcBorders>
            <w:shd w:val="clear" w:color="auto" w:fill="auto"/>
            <w:vAlign w:val="center"/>
            <w:hideMark/>
          </w:tcPr>
          <w:p w14:paraId="2D07C57B" w14:textId="77777777" w:rsidR="00252AFC" w:rsidRPr="007F2D4C" w:rsidRDefault="00252AFC">
            <w:pPr>
              <w:jc w:val="center"/>
              <w:rPr>
                <w:sz w:val="20"/>
                <w:szCs w:val="20"/>
              </w:rPr>
            </w:pPr>
            <w:r w:rsidRPr="007F2D4C">
              <w:rPr>
                <w:sz w:val="20"/>
                <w:szCs w:val="20"/>
              </w:rPr>
              <w:t>Sveučilište u Rijeci - Erste - partija kredita 26010300</w:t>
            </w:r>
          </w:p>
        </w:tc>
        <w:tc>
          <w:tcPr>
            <w:tcW w:w="1061" w:type="dxa"/>
            <w:tcBorders>
              <w:top w:val="nil"/>
              <w:left w:val="nil"/>
              <w:bottom w:val="single" w:sz="4" w:space="0" w:color="auto"/>
              <w:right w:val="single" w:sz="4" w:space="0" w:color="auto"/>
            </w:tcBorders>
            <w:shd w:val="clear" w:color="auto" w:fill="auto"/>
            <w:vAlign w:val="center"/>
            <w:hideMark/>
          </w:tcPr>
          <w:p w14:paraId="1E2FD421" w14:textId="77777777" w:rsidR="00252AFC" w:rsidRPr="007F2D4C" w:rsidRDefault="00252AFC">
            <w:pPr>
              <w:jc w:val="center"/>
              <w:rPr>
                <w:sz w:val="20"/>
                <w:szCs w:val="20"/>
              </w:rPr>
            </w:pPr>
            <w:r w:rsidRPr="007F2D4C">
              <w:rPr>
                <w:sz w:val="20"/>
                <w:szCs w:val="20"/>
              </w:rPr>
              <w:t>EUR</w:t>
            </w:r>
          </w:p>
        </w:tc>
        <w:tc>
          <w:tcPr>
            <w:tcW w:w="1410" w:type="dxa"/>
            <w:tcBorders>
              <w:top w:val="nil"/>
              <w:left w:val="nil"/>
              <w:bottom w:val="single" w:sz="4" w:space="0" w:color="auto"/>
              <w:right w:val="single" w:sz="4" w:space="0" w:color="auto"/>
            </w:tcBorders>
            <w:shd w:val="clear" w:color="000000" w:fill="D9D9D9"/>
            <w:vAlign w:val="center"/>
            <w:hideMark/>
          </w:tcPr>
          <w:p w14:paraId="2BE9C4AA" w14:textId="77777777" w:rsidR="00252AFC" w:rsidRPr="007F2D4C" w:rsidRDefault="00252AFC">
            <w:pPr>
              <w:jc w:val="right"/>
              <w:rPr>
                <w:sz w:val="20"/>
                <w:szCs w:val="20"/>
              </w:rPr>
            </w:pPr>
            <w:r w:rsidRPr="007F2D4C">
              <w:rPr>
                <w:sz w:val="20"/>
                <w:szCs w:val="20"/>
              </w:rPr>
              <w:t>0,00</w:t>
            </w:r>
          </w:p>
        </w:tc>
        <w:tc>
          <w:tcPr>
            <w:tcW w:w="1716" w:type="dxa"/>
            <w:tcBorders>
              <w:top w:val="nil"/>
              <w:left w:val="nil"/>
              <w:bottom w:val="single" w:sz="4" w:space="0" w:color="auto"/>
              <w:right w:val="single" w:sz="4" w:space="0" w:color="auto"/>
            </w:tcBorders>
            <w:shd w:val="clear" w:color="auto" w:fill="auto"/>
            <w:vAlign w:val="center"/>
            <w:hideMark/>
          </w:tcPr>
          <w:p w14:paraId="422A7CF5" w14:textId="77777777" w:rsidR="00252AFC" w:rsidRPr="007F2D4C" w:rsidRDefault="00252AFC">
            <w:pPr>
              <w:jc w:val="right"/>
              <w:rPr>
                <w:sz w:val="20"/>
                <w:szCs w:val="20"/>
              </w:rPr>
            </w:pPr>
            <w:r w:rsidRPr="007F2D4C">
              <w:rPr>
                <w:sz w:val="20"/>
                <w:szCs w:val="20"/>
              </w:rPr>
              <w:t>0,00</w:t>
            </w:r>
          </w:p>
        </w:tc>
      </w:tr>
      <w:tr w:rsidR="00252AFC" w:rsidRPr="007F2D4C" w14:paraId="1F82ECA7" w14:textId="77777777" w:rsidTr="00252AFC">
        <w:trPr>
          <w:trHeight w:val="30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7F2D8412" w14:textId="77777777" w:rsidR="00252AFC" w:rsidRPr="007F2D4C" w:rsidRDefault="00252AFC">
            <w:pPr>
              <w:jc w:val="center"/>
              <w:rPr>
                <w:b/>
                <w:bCs/>
                <w:sz w:val="20"/>
                <w:szCs w:val="20"/>
              </w:rPr>
            </w:pPr>
            <w:r w:rsidRPr="007F2D4C">
              <w:rPr>
                <w:b/>
                <w:bCs/>
                <w:sz w:val="20"/>
                <w:szCs w:val="20"/>
              </w:rPr>
              <w:t>UKUPNO</w:t>
            </w:r>
          </w:p>
        </w:tc>
        <w:tc>
          <w:tcPr>
            <w:tcW w:w="3696" w:type="dxa"/>
            <w:tcBorders>
              <w:top w:val="nil"/>
              <w:left w:val="nil"/>
              <w:bottom w:val="single" w:sz="4" w:space="0" w:color="auto"/>
              <w:right w:val="single" w:sz="4" w:space="0" w:color="auto"/>
            </w:tcBorders>
            <w:shd w:val="clear" w:color="auto" w:fill="auto"/>
            <w:noWrap/>
            <w:vAlign w:val="center"/>
            <w:hideMark/>
          </w:tcPr>
          <w:p w14:paraId="1030B5A8" w14:textId="77777777" w:rsidR="00252AFC" w:rsidRPr="007F2D4C" w:rsidRDefault="00252AFC">
            <w:pPr>
              <w:jc w:val="center"/>
              <w:rPr>
                <w:sz w:val="20"/>
                <w:szCs w:val="20"/>
              </w:rPr>
            </w:pPr>
            <w:r w:rsidRPr="007F2D4C">
              <w:rPr>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14:paraId="37B59F1C" w14:textId="77777777" w:rsidR="00252AFC" w:rsidRPr="007F2D4C" w:rsidRDefault="00252AFC">
            <w:pPr>
              <w:jc w:val="center"/>
              <w:rPr>
                <w:b/>
                <w:bCs/>
                <w:sz w:val="20"/>
                <w:szCs w:val="20"/>
              </w:rPr>
            </w:pPr>
            <w:r w:rsidRPr="007F2D4C">
              <w:rPr>
                <w:b/>
                <w:bCs/>
                <w:sz w:val="20"/>
                <w:szCs w:val="20"/>
              </w:rPr>
              <w:t>EUR</w:t>
            </w:r>
          </w:p>
        </w:tc>
        <w:tc>
          <w:tcPr>
            <w:tcW w:w="1410" w:type="dxa"/>
            <w:tcBorders>
              <w:top w:val="nil"/>
              <w:left w:val="nil"/>
              <w:bottom w:val="single" w:sz="4" w:space="0" w:color="auto"/>
              <w:right w:val="single" w:sz="4" w:space="0" w:color="auto"/>
            </w:tcBorders>
            <w:shd w:val="clear" w:color="000000" w:fill="D9D9D9"/>
            <w:noWrap/>
            <w:vAlign w:val="center"/>
            <w:hideMark/>
          </w:tcPr>
          <w:p w14:paraId="4DA5CE09" w14:textId="77777777" w:rsidR="00252AFC" w:rsidRPr="007F2D4C" w:rsidRDefault="00252AFC">
            <w:pPr>
              <w:jc w:val="right"/>
              <w:rPr>
                <w:b/>
                <w:bCs/>
                <w:sz w:val="20"/>
                <w:szCs w:val="20"/>
              </w:rPr>
            </w:pPr>
            <w:r w:rsidRPr="007F2D4C">
              <w:rPr>
                <w:b/>
                <w:bCs/>
                <w:sz w:val="20"/>
                <w:szCs w:val="20"/>
              </w:rPr>
              <w:t>1.621.879,23</w:t>
            </w:r>
          </w:p>
        </w:tc>
        <w:tc>
          <w:tcPr>
            <w:tcW w:w="1716" w:type="dxa"/>
            <w:tcBorders>
              <w:top w:val="nil"/>
              <w:left w:val="nil"/>
              <w:bottom w:val="single" w:sz="4" w:space="0" w:color="auto"/>
              <w:right w:val="single" w:sz="4" w:space="0" w:color="auto"/>
            </w:tcBorders>
            <w:shd w:val="clear" w:color="000000" w:fill="D9D9D9"/>
            <w:noWrap/>
            <w:vAlign w:val="center"/>
            <w:hideMark/>
          </w:tcPr>
          <w:p w14:paraId="6CDE1971" w14:textId="3B50EFAB" w:rsidR="00252AFC" w:rsidRPr="007F2D4C" w:rsidRDefault="00252AFC">
            <w:pPr>
              <w:jc w:val="right"/>
              <w:rPr>
                <w:b/>
                <w:bCs/>
                <w:sz w:val="20"/>
                <w:szCs w:val="20"/>
              </w:rPr>
            </w:pPr>
            <w:r w:rsidRPr="007F2D4C">
              <w:rPr>
                <w:b/>
                <w:bCs/>
                <w:sz w:val="20"/>
                <w:szCs w:val="20"/>
              </w:rPr>
              <w:t>12.191.948,16</w:t>
            </w:r>
          </w:p>
        </w:tc>
      </w:tr>
      <w:tr w:rsidR="00252AFC" w:rsidRPr="007F2D4C" w14:paraId="48E87258"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7CBD8C05" w14:textId="77777777" w:rsidR="00252AFC" w:rsidRPr="007F2D4C" w:rsidRDefault="00252AFC">
            <w:pPr>
              <w:jc w:val="center"/>
              <w:rPr>
                <w:sz w:val="20"/>
                <w:szCs w:val="20"/>
              </w:rPr>
            </w:pPr>
            <w:r w:rsidRPr="007F2D4C">
              <w:rPr>
                <w:sz w:val="20"/>
                <w:szCs w:val="20"/>
              </w:rPr>
              <w:t>3.</w:t>
            </w:r>
          </w:p>
        </w:tc>
        <w:tc>
          <w:tcPr>
            <w:tcW w:w="3696" w:type="dxa"/>
            <w:tcBorders>
              <w:top w:val="nil"/>
              <w:left w:val="nil"/>
              <w:bottom w:val="single" w:sz="4" w:space="0" w:color="auto"/>
              <w:right w:val="single" w:sz="4" w:space="0" w:color="auto"/>
            </w:tcBorders>
            <w:shd w:val="clear" w:color="auto" w:fill="auto"/>
            <w:vAlign w:val="center"/>
            <w:hideMark/>
          </w:tcPr>
          <w:p w14:paraId="0EB1955A" w14:textId="77777777" w:rsidR="00252AFC" w:rsidRPr="007F2D4C" w:rsidRDefault="00252AFC">
            <w:pPr>
              <w:jc w:val="center"/>
              <w:rPr>
                <w:sz w:val="20"/>
                <w:szCs w:val="20"/>
              </w:rPr>
            </w:pPr>
            <w:r w:rsidRPr="007F2D4C">
              <w:rPr>
                <w:sz w:val="20"/>
                <w:szCs w:val="20"/>
              </w:rPr>
              <w:t>Sveučilište u Splitu - ZABA+PBZ - partija kredita 5100174887</w:t>
            </w:r>
          </w:p>
        </w:tc>
        <w:tc>
          <w:tcPr>
            <w:tcW w:w="1061" w:type="dxa"/>
            <w:tcBorders>
              <w:top w:val="nil"/>
              <w:left w:val="nil"/>
              <w:bottom w:val="single" w:sz="4" w:space="0" w:color="auto"/>
              <w:right w:val="single" w:sz="4" w:space="0" w:color="auto"/>
            </w:tcBorders>
            <w:shd w:val="clear" w:color="auto" w:fill="auto"/>
            <w:noWrap/>
            <w:vAlign w:val="center"/>
            <w:hideMark/>
          </w:tcPr>
          <w:p w14:paraId="4DBB6926" w14:textId="77777777" w:rsidR="00252AFC" w:rsidRPr="007F2D4C" w:rsidRDefault="00252AFC">
            <w:pPr>
              <w:jc w:val="center"/>
              <w:rPr>
                <w:sz w:val="20"/>
                <w:szCs w:val="20"/>
              </w:rPr>
            </w:pPr>
            <w:r w:rsidRPr="007F2D4C">
              <w:rPr>
                <w:sz w:val="20"/>
                <w:szCs w:val="20"/>
              </w:rPr>
              <w:t>HRK</w:t>
            </w:r>
          </w:p>
        </w:tc>
        <w:tc>
          <w:tcPr>
            <w:tcW w:w="1410" w:type="dxa"/>
            <w:tcBorders>
              <w:top w:val="nil"/>
              <w:left w:val="nil"/>
              <w:bottom w:val="single" w:sz="4" w:space="0" w:color="auto"/>
              <w:right w:val="single" w:sz="4" w:space="0" w:color="auto"/>
            </w:tcBorders>
            <w:shd w:val="clear" w:color="000000" w:fill="D9D9D9"/>
            <w:noWrap/>
            <w:vAlign w:val="center"/>
            <w:hideMark/>
          </w:tcPr>
          <w:p w14:paraId="29BDAD46" w14:textId="77777777" w:rsidR="00252AFC" w:rsidRPr="007F2D4C" w:rsidRDefault="00252AFC">
            <w:pPr>
              <w:jc w:val="right"/>
              <w:rPr>
                <w:b/>
                <w:bCs/>
                <w:sz w:val="20"/>
                <w:szCs w:val="20"/>
              </w:rPr>
            </w:pPr>
            <w:r w:rsidRPr="007F2D4C">
              <w:rPr>
                <w:b/>
                <w:bCs/>
                <w:sz w:val="20"/>
                <w:szCs w:val="20"/>
              </w:rPr>
              <w:t> </w:t>
            </w:r>
          </w:p>
        </w:tc>
        <w:tc>
          <w:tcPr>
            <w:tcW w:w="1716" w:type="dxa"/>
            <w:tcBorders>
              <w:top w:val="nil"/>
              <w:left w:val="nil"/>
              <w:bottom w:val="single" w:sz="4" w:space="0" w:color="auto"/>
              <w:right w:val="single" w:sz="4" w:space="0" w:color="auto"/>
            </w:tcBorders>
            <w:shd w:val="clear" w:color="auto" w:fill="auto"/>
            <w:vAlign w:val="center"/>
            <w:hideMark/>
          </w:tcPr>
          <w:p w14:paraId="6CAD216E" w14:textId="77777777" w:rsidR="00252AFC" w:rsidRPr="007F2D4C" w:rsidRDefault="00252AFC">
            <w:pPr>
              <w:jc w:val="right"/>
              <w:rPr>
                <w:sz w:val="20"/>
                <w:szCs w:val="20"/>
              </w:rPr>
            </w:pPr>
            <w:r w:rsidRPr="007F2D4C">
              <w:rPr>
                <w:sz w:val="20"/>
                <w:szCs w:val="20"/>
              </w:rPr>
              <w:t>131.923.076,66</w:t>
            </w:r>
          </w:p>
        </w:tc>
      </w:tr>
      <w:tr w:rsidR="00252AFC" w:rsidRPr="007F2D4C" w14:paraId="576AAF5E"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18777DB3" w14:textId="77777777" w:rsidR="00252AFC" w:rsidRPr="007F2D4C" w:rsidRDefault="00252AFC">
            <w:pPr>
              <w:jc w:val="center"/>
              <w:rPr>
                <w:sz w:val="20"/>
                <w:szCs w:val="20"/>
              </w:rPr>
            </w:pPr>
            <w:r w:rsidRPr="007F2D4C">
              <w:rPr>
                <w:sz w:val="20"/>
                <w:szCs w:val="20"/>
              </w:rPr>
              <w:t>4.</w:t>
            </w:r>
          </w:p>
        </w:tc>
        <w:tc>
          <w:tcPr>
            <w:tcW w:w="3696" w:type="dxa"/>
            <w:tcBorders>
              <w:top w:val="nil"/>
              <w:left w:val="nil"/>
              <w:bottom w:val="single" w:sz="4" w:space="0" w:color="auto"/>
              <w:right w:val="single" w:sz="4" w:space="0" w:color="auto"/>
            </w:tcBorders>
            <w:shd w:val="clear" w:color="auto" w:fill="auto"/>
            <w:vAlign w:val="center"/>
            <w:hideMark/>
          </w:tcPr>
          <w:p w14:paraId="3B1E0CCD" w14:textId="77777777" w:rsidR="00252AFC" w:rsidRPr="007F2D4C" w:rsidRDefault="00252AFC">
            <w:pPr>
              <w:jc w:val="center"/>
              <w:rPr>
                <w:sz w:val="20"/>
                <w:szCs w:val="20"/>
              </w:rPr>
            </w:pPr>
            <w:r w:rsidRPr="007F2D4C">
              <w:rPr>
                <w:sz w:val="20"/>
                <w:szCs w:val="20"/>
              </w:rPr>
              <w:t xml:space="preserve">Sveučilište u Osijeku - </w:t>
            </w:r>
            <w:proofErr w:type="spellStart"/>
            <w:r w:rsidRPr="007F2D4C">
              <w:rPr>
                <w:sz w:val="20"/>
                <w:szCs w:val="20"/>
              </w:rPr>
              <w:t>Addiko</w:t>
            </w:r>
            <w:proofErr w:type="spellEnd"/>
            <w:r w:rsidRPr="007F2D4C">
              <w:rPr>
                <w:sz w:val="20"/>
                <w:szCs w:val="20"/>
              </w:rPr>
              <w:t xml:space="preserve"> Bank - partija kredita 51900043</w:t>
            </w:r>
          </w:p>
        </w:tc>
        <w:tc>
          <w:tcPr>
            <w:tcW w:w="1061" w:type="dxa"/>
            <w:tcBorders>
              <w:top w:val="nil"/>
              <w:left w:val="nil"/>
              <w:bottom w:val="single" w:sz="4" w:space="0" w:color="auto"/>
              <w:right w:val="single" w:sz="4" w:space="0" w:color="auto"/>
            </w:tcBorders>
            <w:shd w:val="clear" w:color="auto" w:fill="auto"/>
            <w:noWrap/>
            <w:vAlign w:val="center"/>
            <w:hideMark/>
          </w:tcPr>
          <w:p w14:paraId="0ADDE6F9" w14:textId="77777777" w:rsidR="00252AFC" w:rsidRPr="007F2D4C" w:rsidRDefault="00252AFC">
            <w:pPr>
              <w:jc w:val="center"/>
              <w:rPr>
                <w:sz w:val="20"/>
                <w:szCs w:val="20"/>
              </w:rPr>
            </w:pPr>
            <w:r w:rsidRPr="007F2D4C">
              <w:rPr>
                <w:sz w:val="20"/>
                <w:szCs w:val="20"/>
              </w:rPr>
              <w:t>HRK</w:t>
            </w:r>
          </w:p>
        </w:tc>
        <w:tc>
          <w:tcPr>
            <w:tcW w:w="1410" w:type="dxa"/>
            <w:tcBorders>
              <w:top w:val="nil"/>
              <w:left w:val="nil"/>
              <w:bottom w:val="single" w:sz="4" w:space="0" w:color="auto"/>
              <w:right w:val="single" w:sz="4" w:space="0" w:color="auto"/>
            </w:tcBorders>
            <w:shd w:val="clear" w:color="000000" w:fill="D9D9D9"/>
            <w:noWrap/>
            <w:vAlign w:val="center"/>
            <w:hideMark/>
          </w:tcPr>
          <w:p w14:paraId="7DF29168" w14:textId="77777777" w:rsidR="00252AFC" w:rsidRPr="007F2D4C" w:rsidRDefault="00252AFC">
            <w:pPr>
              <w:jc w:val="right"/>
              <w:rPr>
                <w:b/>
                <w:bCs/>
                <w:sz w:val="20"/>
                <w:szCs w:val="20"/>
              </w:rPr>
            </w:pPr>
            <w:r w:rsidRPr="007F2D4C">
              <w:rPr>
                <w:b/>
                <w:bCs/>
                <w:sz w:val="20"/>
                <w:szCs w:val="20"/>
              </w:rPr>
              <w:t> </w:t>
            </w:r>
          </w:p>
        </w:tc>
        <w:tc>
          <w:tcPr>
            <w:tcW w:w="1716" w:type="dxa"/>
            <w:tcBorders>
              <w:top w:val="nil"/>
              <w:left w:val="nil"/>
              <w:bottom w:val="nil"/>
              <w:right w:val="single" w:sz="4" w:space="0" w:color="auto"/>
            </w:tcBorders>
            <w:shd w:val="clear" w:color="auto" w:fill="auto"/>
            <w:vAlign w:val="center"/>
            <w:hideMark/>
          </w:tcPr>
          <w:p w14:paraId="5DC13066" w14:textId="77777777" w:rsidR="00252AFC" w:rsidRPr="007F2D4C" w:rsidRDefault="00252AFC">
            <w:pPr>
              <w:jc w:val="right"/>
              <w:rPr>
                <w:sz w:val="20"/>
                <w:szCs w:val="20"/>
              </w:rPr>
            </w:pPr>
            <w:r w:rsidRPr="007F2D4C">
              <w:rPr>
                <w:sz w:val="20"/>
                <w:szCs w:val="20"/>
              </w:rPr>
              <w:t>152.378.184,56</w:t>
            </w:r>
          </w:p>
        </w:tc>
      </w:tr>
      <w:tr w:rsidR="00252AFC" w:rsidRPr="007F2D4C" w14:paraId="4C5BC261"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32D67BB8" w14:textId="77777777" w:rsidR="00252AFC" w:rsidRPr="007F2D4C" w:rsidRDefault="00252AFC">
            <w:pPr>
              <w:jc w:val="center"/>
              <w:rPr>
                <w:sz w:val="20"/>
                <w:szCs w:val="20"/>
              </w:rPr>
            </w:pPr>
            <w:r w:rsidRPr="007F2D4C">
              <w:rPr>
                <w:sz w:val="20"/>
                <w:szCs w:val="20"/>
              </w:rPr>
              <w:t>5.</w:t>
            </w:r>
          </w:p>
        </w:tc>
        <w:tc>
          <w:tcPr>
            <w:tcW w:w="3696" w:type="dxa"/>
            <w:tcBorders>
              <w:top w:val="nil"/>
              <w:left w:val="nil"/>
              <w:bottom w:val="single" w:sz="4" w:space="0" w:color="auto"/>
              <w:right w:val="single" w:sz="4" w:space="0" w:color="auto"/>
            </w:tcBorders>
            <w:shd w:val="clear" w:color="auto" w:fill="auto"/>
            <w:vAlign w:val="center"/>
            <w:hideMark/>
          </w:tcPr>
          <w:p w14:paraId="69552220" w14:textId="77777777" w:rsidR="00252AFC" w:rsidRPr="007F2D4C" w:rsidRDefault="00252AFC">
            <w:pPr>
              <w:jc w:val="center"/>
              <w:rPr>
                <w:sz w:val="20"/>
                <w:szCs w:val="20"/>
              </w:rPr>
            </w:pPr>
            <w:r w:rsidRPr="007F2D4C">
              <w:rPr>
                <w:sz w:val="20"/>
                <w:szCs w:val="20"/>
              </w:rPr>
              <w:t>Sveučilište u Zagrebu - PBZ - partija kredita 5710001057</w:t>
            </w:r>
          </w:p>
        </w:tc>
        <w:tc>
          <w:tcPr>
            <w:tcW w:w="1061" w:type="dxa"/>
            <w:tcBorders>
              <w:top w:val="nil"/>
              <w:left w:val="nil"/>
              <w:bottom w:val="single" w:sz="4" w:space="0" w:color="auto"/>
              <w:right w:val="single" w:sz="4" w:space="0" w:color="auto"/>
            </w:tcBorders>
            <w:shd w:val="clear" w:color="auto" w:fill="auto"/>
            <w:noWrap/>
            <w:vAlign w:val="center"/>
            <w:hideMark/>
          </w:tcPr>
          <w:p w14:paraId="020B0F21" w14:textId="77777777" w:rsidR="00252AFC" w:rsidRPr="007F2D4C" w:rsidRDefault="00252AFC">
            <w:pPr>
              <w:jc w:val="center"/>
              <w:rPr>
                <w:sz w:val="20"/>
                <w:szCs w:val="20"/>
              </w:rPr>
            </w:pPr>
            <w:r w:rsidRPr="007F2D4C">
              <w:rPr>
                <w:sz w:val="20"/>
                <w:szCs w:val="20"/>
              </w:rPr>
              <w:t>HRK</w:t>
            </w:r>
          </w:p>
        </w:tc>
        <w:tc>
          <w:tcPr>
            <w:tcW w:w="1410" w:type="dxa"/>
            <w:tcBorders>
              <w:top w:val="nil"/>
              <w:left w:val="nil"/>
              <w:bottom w:val="single" w:sz="4" w:space="0" w:color="auto"/>
              <w:right w:val="single" w:sz="4" w:space="0" w:color="auto"/>
            </w:tcBorders>
            <w:shd w:val="clear" w:color="000000" w:fill="D9D9D9"/>
            <w:noWrap/>
            <w:vAlign w:val="center"/>
            <w:hideMark/>
          </w:tcPr>
          <w:p w14:paraId="7D500EDF" w14:textId="77777777" w:rsidR="00252AFC" w:rsidRPr="007F2D4C" w:rsidRDefault="00252AFC">
            <w:pPr>
              <w:jc w:val="right"/>
              <w:rPr>
                <w:b/>
                <w:bCs/>
                <w:sz w:val="20"/>
                <w:szCs w:val="20"/>
              </w:rPr>
            </w:pPr>
            <w:r w:rsidRPr="007F2D4C">
              <w:rPr>
                <w:b/>
                <w:bCs/>
                <w:sz w:val="20"/>
                <w:szCs w:val="20"/>
              </w:rPr>
              <w:t> </w:t>
            </w:r>
          </w:p>
        </w:tc>
        <w:tc>
          <w:tcPr>
            <w:tcW w:w="1716" w:type="dxa"/>
            <w:tcBorders>
              <w:top w:val="single" w:sz="4" w:space="0" w:color="auto"/>
              <w:left w:val="nil"/>
              <w:bottom w:val="nil"/>
              <w:right w:val="single" w:sz="4" w:space="0" w:color="auto"/>
            </w:tcBorders>
            <w:shd w:val="clear" w:color="auto" w:fill="auto"/>
            <w:vAlign w:val="center"/>
            <w:hideMark/>
          </w:tcPr>
          <w:p w14:paraId="03576F76" w14:textId="77777777" w:rsidR="00252AFC" w:rsidRPr="007F2D4C" w:rsidRDefault="00252AFC">
            <w:pPr>
              <w:jc w:val="right"/>
              <w:rPr>
                <w:sz w:val="20"/>
                <w:szCs w:val="20"/>
              </w:rPr>
            </w:pPr>
            <w:r w:rsidRPr="007F2D4C">
              <w:rPr>
                <w:sz w:val="20"/>
                <w:szCs w:val="20"/>
              </w:rPr>
              <w:t>46.793.659,68</w:t>
            </w:r>
          </w:p>
        </w:tc>
      </w:tr>
      <w:tr w:rsidR="00252AFC" w:rsidRPr="007F2D4C" w14:paraId="148492F6" w14:textId="77777777" w:rsidTr="00252AFC">
        <w:trPr>
          <w:trHeight w:val="51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773CEC23" w14:textId="77777777" w:rsidR="00252AFC" w:rsidRPr="007F2D4C" w:rsidRDefault="00252AFC">
            <w:pPr>
              <w:jc w:val="center"/>
              <w:rPr>
                <w:sz w:val="20"/>
                <w:szCs w:val="20"/>
              </w:rPr>
            </w:pPr>
            <w:r w:rsidRPr="007F2D4C">
              <w:rPr>
                <w:sz w:val="20"/>
                <w:szCs w:val="20"/>
              </w:rPr>
              <w:t>6.</w:t>
            </w:r>
          </w:p>
        </w:tc>
        <w:tc>
          <w:tcPr>
            <w:tcW w:w="3696" w:type="dxa"/>
            <w:tcBorders>
              <w:top w:val="nil"/>
              <w:left w:val="nil"/>
              <w:bottom w:val="single" w:sz="4" w:space="0" w:color="auto"/>
              <w:right w:val="single" w:sz="4" w:space="0" w:color="auto"/>
            </w:tcBorders>
            <w:shd w:val="clear" w:color="auto" w:fill="auto"/>
            <w:vAlign w:val="center"/>
            <w:hideMark/>
          </w:tcPr>
          <w:p w14:paraId="773BDFF1" w14:textId="77777777" w:rsidR="00252AFC" w:rsidRPr="007F2D4C" w:rsidRDefault="00252AFC">
            <w:pPr>
              <w:jc w:val="center"/>
              <w:rPr>
                <w:sz w:val="20"/>
                <w:szCs w:val="20"/>
              </w:rPr>
            </w:pPr>
            <w:r w:rsidRPr="007F2D4C">
              <w:rPr>
                <w:sz w:val="20"/>
                <w:szCs w:val="20"/>
              </w:rPr>
              <w:t>Sveučilište u Dubrovniku - ZABA - partija kredita 5100180952</w:t>
            </w:r>
          </w:p>
        </w:tc>
        <w:tc>
          <w:tcPr>
            <w:tcW w:w="1061" w:type="dxa"/>
            <w:tcBorders>
              <w:top w:val="nil"/>
              <w:left w:val="nil"/>
              <w:bottom w:val="single" w:sz="4" w:space="0" w:color="auto"/>
              <w:right w:val="single" w:sz="4" w:space="0" w:color="auto"/>
            </w:tcBorders>
            <w:shd w:val="clear" w:color="auto" w:fill="auto"/>
            <w:noWrap/>
            <w:vAlign w:val="center"/>
            <w:hideMark/>
          </w:tcPr>
          <w:p w14:paraId="4F0B09AD" w14:textId="77777777" w:rsidR="00252AFC" w:rsidRPr="007F2D4C" w:rsidRDefault="00252AFC">
            <w:pPr>
              <w:jc w:val="center"/>
              <w:rPr>
                <w:sz w:val="20"/>
                <w:szCs w:val="20"/>
              </w:rPr>
            </w:pPr>
            <w:r w:rsidRPr="007F2D4C">
              <w:rPr>
                <w:sz w:val="20"/>
                <w:szCs w:val="20"/>
              </w:rPr>
              <w:t>HRK</w:t>
            </w:r>
          </w:p>
        </w:tc>
        <w:tc>
          <w:tcPr>
            <w:tcW w:w="1410" w:type="dxa"/>
            <w:tcBorders>
              <w:top w:val="nil"/>
              <w:left w:val="nil"/>
              <w:bottom w:val="single" w:sz="4" w:space="0" w:color="auto"/>
              <w:right w:val="single" w:sz="4" w:space="0" w:color="auto"/>
            </w:tcBorders>
            <w:shd w:val="clear" w:color="000000" w:fill="D9D9D9"/>
            <w:noWrap/>
            <w:vAlign w:val="center"/>
            <w:hideMark/>
          </w:tcPr>
          <w:p w14:paraId="757F05B1" w14:textId="77777777" w:rsidR="00252AFC" w:rsidRPr="007F2D4C" w:rsidRDefault="00252AFC">
            <w:pPr>
              <w:jc w:val="right"/>
              <w:rPr>
                <w:b/>
                <w:bCs/>
                <w:sz w:val="20"/>
                <w:szCs w:val="20"/>
              </w:rPr>
            </w:pPr>
            <w:r w:rsidRPr="007F2D4C">
              <w:rPr>
                <w:b/>
                <w:bCs/>
                <w:sz w:val="20"/>
                <w:szCs w:val="20"/>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250A3AF5" w14:textId="77777777" w:rsidR="00252AFC" w:rsidRPr="007F2D4C" w:rsidRDefault="00252AFC">
            <w:pPr>
              <w:jc w:val="right"/>
              <w:rPr>
                <w:sz w:val="20"/>
                <w:szCs w:val="20"/>
              </w:rPr>
            </w:pPr>
            <w:r w:rsidRPr="007F2D4C">
              <w:rPr>
                <w:sz w:val="20"/>
                <w:szCs w:val="20"/>
              </w:rPr>
              <w:t>19.668.675,00</w:t>
            </w:r>
          </w:p>
        </w:tc>
      </w:tr>
      <w:tr w:rsidR="00252AFC" w:rsidRPr="007F2D4C" w14:paraId="3E222E77" w14:textId="77777777" w:rsidTr="00252AFC">
        <w:trPr>
          <w:trHeight w:val="315"/>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6A58F" w14:textId="77777777" w:rsidR="00252AFC" w:rsidRPr="007F2D4C" w:rsidRDefault="00252AFC">
            <w:pPr>
              <w:jc w:val="center"/>
              <w:rPr>
                <w:b/>
                <w:bCs/>
                <w:sz w:val="20"/>
                <w:szCs w:val="20"/>
              </w:rPr>
            </w:pPr>
            <w:r w:rsidRPr="007F2D4C">
              <w:rPr>
                <w:b/>
                <w:bCs/>
                <w:sz w:val="20"/>
                <w:szCs w:val="20"/>
              </w:rPr>
              <w:t>UKUPNO</w:t>
            </w:r>
          </w:p>
        </w:tc>
        <w:tc>
          <w:tcPr>
            <w:tcW w:w="3696" w:type="dxa"/>
            <w:tcBorders>
              <w:top w:val="single" w:sz="4" w:space="0" w:color="auto"/>
              <w:left w:val="nil"/>
              <w:bottom w:val="single" w:sz="4" w:space="0" w:color="auto"/>
              <w:right w:val="single" w:sz="4" w:space="0" w:color="auto"/>
            </w:tcBorders>
            <w:shd w:val="clear" w:color="auto" w:fill="auto"/>
            <w:noWrap/>
            <w:vAlign w:val="center"/>
            <w:hideMark/>
          </w:tcPr>
          <w:p w14:paraId="430A2FA6" w14:textId="77777777" w:rsidR="00252AFC" w:rsidRPr="007F2D4C" w:rsidRDefault="00252AFC">
            <w:pPr>
              <w:jc w:val="center"/>
              <w:rPr>
                <w:sz w:val="20"/>
                <w:szCs w:val="20"/>
              </w:rPr>
            </w:pPr>
            <w:r w:rsidRPr="007F2D4C">
              <w:rPr>
                <w:sz w:val="20"/>
                <w:szCs w:val="20"/>
              </w:rPr>
              <w:t> </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78D2BED4" w14:textId="77777777" w:rsidR="00252AFC" w:rsidRPr="007F2D4C" w:rsidRDefault="00252AFC">
            <w:pPr>
              <w:jc w:val="center"/>
              <w:rPr>
                <w:b/>
                <w:bCs/>
                <w:sz w:val="20"/>
                <w:szCs w:val="20"/>
              </w:rPr>
            </w:pPr>
            <w:r w:rsidRPr="007F2D4C">
              <w:rPr>
                <w:b/>
                <w:bCs/>
                <w:sz w:val="20"/>
                <w:szCs w:val="20"/>
              </w:rPr>
              <w:t>HRK</w:t>
            </w:r>
          </w:p>
        </w:tc>
        <w:tc>
          <w:tcPr>
            <w:tcW w:w="1410" w:type="dxa"/>
            <w:tcBorders>
              <w:top w:val="single" w:sz="4" w:space="0" w:color="auto"/>
              <w:left w:val="nil"/>
              <w:bottom w:val="single" w:sz="4" w:space="0" w:color="auto"/>
              <w:right w:val="single" w:sz="4" w:space="0" w:color="auto"/>
            </w:tcBorders>
            <w:shd w:val="clear" w:color="000000" w:fill="D9D9D9"/>
            <w:noWrap/>
            <w:vAlign w:val="center"/>
            <w:hideMark/>
          </w:tcPr>
          <w:p w14:paraId="47EFCED0" w14:textId="77777777" w:rsidR="00252AFC" w:rsidRPr="007F2D4C" w:rsidRDefault="00252AFC">
            <w:pPr>
              <w:jc w:val="right"/>
              <w:rPr>
                <w:b/>
                <w:bCs/>
                <w:sz w:val="20"/>
                <w:szCs w:val="20"/>
              </w:rPr>
            </w:pPr>
            <w:r w:rsidRPr="007F2D4C">
              <w:rPr>
                <w:b/>
                <w:bCs/>
                <w:sz w:val="20"/>
                <w:szCs w:val="20"/>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55DDEEE2" w14:textId="77777777" w:rsidR="00252AFC" w:rsidRPr="007F2D4C" w:rsidRDefault="00252AFC">
            <w:pPr>
              <w:jc w:val="right"/>
              <w:rPr>
                <w:b/>
                <w:bCs/>
                <w:sz w:val="20"/>
                <w:szCs w:val="20"/>
              </w:rPr>
            </w:pPr>
            <w:r w:rsidRPr="007F2D4C">
              <w:rPr>
                <w:b/>
                <w:bCs/>
                <w:sz w:val="20"/>
                <w:szCs w:val="20"/>
              </w:rPr>
              <w:t>350.763.595,90</w:t>
            </w:r>
          </w:p>
        </w:tc>
      </w:tr>
    </w:tbl>
    <w:p w14:paraId="52E7546D" w14:textId="77777777" w:rsidR="00252AFC" w:rsidRDefault="00252AFC" w:rsidP="00F66D89">
      <w:pPr>
        <w:tabs>
          <w:tab w:val="left" w:pos="360"/>
        </w:tabs>
        <w:rPr>
          <w:i/>
          <w:highlight w:val="red"/>
        </w:rPr>
      </w:pPr>
    </w:p>
    <w:p w14:paraId="317D1592" w14:textId="77777777" w:rsidR="00252AFC" w:rsidRDefault="00252AFC" w:rsidP="00F66D89">
      <w:pPr>
        <w:tabs>
          <w:tab w:val="left" w:pos="360"/>
        </w:tabs>
        <w:rPr>
          <w:i/>
          <w:highlight w:val="red"/>
        </w:rPr>
      </w:pPr>
    </w:p>
    <w:p w14:paraId="0695E486" w14:textId="77777777" w:rsidR="00F516AA" w:rsidRPr="00C2390B" w:rsidRDefault="00F516AA" w:rsidP="00F516AA">
      <w:pPr>
        <w:tabs>
          <w:tab w:val="left" w:pos="360"/>
        </w:tabs>
        <w:jc w:val="both"/>
        <w:rPr>
          <w:b/>
          <w:i/>
        </w:rPr>
      </w:pPr>
      <w:r w:rsidRPr="00C2390B">
        <w:rPr>
          <w:b/>
          <w:i/>
        </w:rPr>
        <w:t xml:space="preserve">Zaduživanje na domaćem tržištu putem dugoročnih kredita </w:t>
      </w:r>
    </w:p>
    <w:p w14:paraId="441FC2AB" w14:textId="750DAE55" w:rsidR="00F516AA" w:rsidRPr="00C2390B" w:rsidRDefault="00F516AA" w:rsidP="00F516AA">
      <w:pPr>
        <w:tabs>
          <w:tab w:val="left" w:pos="360"/>
        </w:tabs>
        <w:jc w:val="both"/>
      </w:pPr>
    </w:p>
    <w:p w14:paraId="117C01C0" w14:textId="77777777" w:rsidR="00F516AA" w:rsidRPr="00C2390B" w:rsidRDefault="00F516AA" w:rsidP="00F516AA">
      <w:pPr>
        <w:tabs>
          <w:tab w:val="left" w:pos="360"/>
        </w:tabs>
        <w:jc w:val="both"/>
      </w:pPr>
      <w:r w:rsidRPr="00C2390B">
        <w:t>•</w:t>
      </w:r>
      <w:r w:rsidRPr="00C2390B">
        <w:tab/>
        <w:t xml:space="preserve">Kredit u iznosu od 3.000.000.000,00 kuna  </w:t>
      </w:r>
    </w:p>
    <w:p w14:paraId="5D5BDE3E" w14:textId="77777777" w:rsidR="00F516AA" w:rsidRPr="00C2390B" w:rsidRDefault="00F516AA" w:rsidP="00F516AA">
      <w:pPr>
        <w:tabs>
          <w:tab w:val="left" w:pos="360"/>
        </w:tabs>
        <w:jc w:val="both"/>
      </w:pPr>
    </w:p>
    <w:p w14:paraId="2869D2E8" w14:textId="10610261" w:rsidR="00F516AA" w:rsidRPr="00C2390B" w:rsidRDefault="00F516AA" w:rsidP="00F516AA">
      <w:pPr>
        <w:tabs>
          <w:tab w:val="left" w:pos="360"/>
        </w:tabs>
        <w:jc w:val="both"/>
      </w:pPr>
      <w:r w:rsidRPr="00C2390B">
        <w:t>Radi izvršenja izdataka utvrđenih Zakonom o izvršavanju Državnog proračuna</w:t>
      </w:r>
      <w:r w:rsidR="00E25B5C">
        <w:t xml:space="preserve"> Republike Hrvatske za 2021.</w:t>
      </w:r>
      <w:r w:rsidRPr="00C2390B">
        <w:t xml:space="preserve">, </w:t>
      </w:r>
      <w:r w:rsidR="00E25B5C" w:rsidRPr="00C2390B">
        <w:t xml:space="preserve">u lipnju </w:t>
      </w:r>
      <w:r w:rsidR="00E25B5C">
        <w:t xml:space="preserve">2021. </w:t>
      </w:r>
      <w:r w:rsidRPr="00C2390B">
        <w:t xml:space="preserve">Republika Hrvatska zadužila </w:t>
      </w:r>
      <w:r w:rsidR="00E25B5C" w:rsidRPr="00C2390B">
        <w:t xml:space="preserve">se </w:t>
      </w:r>
      <w:r w:rsidRPr="00C2390B">
        <w:t xml:space="preserve">na domaćem financijskom tržištu u iznosu 3 milijarde kuna uz fiksnu kamatnu stopu 0,298% godišnje. Glavnica će se otplatiti jednokratno 31. srpnja 2026. </w:t>
      </w:r>
    </w:p>
    <w:p w14:paraId="7ECCD4B6" w14:textId="77777777" w:rsidR="00F516AA" w:rsidRPr="00C2390B" w:rsidRDefault="00F516AA" w:rsidP="00F516AA">
      <w:pPr>
        <w:tabs>
          <w:tab w:val="left" w:pos="360"/>
        </w:tabs>
        <w:jc w:val="both"/>
      </w:pPr>
    </w:p>
    <w:p w14:paraId="1309406F" w14:textId="77777777" w:rsidR="00F516AA" w:rsidRPr="00C2390B" w:rsidRDefault="00F516AA" w:rsidP="00F516AA">
      <w:pPr>
        <w:tabs>
          <w:tab w:val="left" w:pos="360"/>
        </w:tabs>
        <w:jc w:val="both"/>
      </w:pPr>
      <w:r w:rsidRPr="00C2390B">
        <w:t>•</w:t>
      </w:r>
      <w:r w:rsidRPr="00C2390B">
        <w:tab/>
        <w:t xml:space="preserve">Kredit u iznosu od 2.000.000.000,00 kuna  </w:t>
      </w:r>
    </w:p>
    <w:p w14:paraId="64F98E9B" w14:textId="77777777" w:rsidR="00F516AA" w:rsidRPr="00C2390B" w:rsidRDefault="00F516AA" w:rsidP="00F516AA">
      <w:pPr>
        <w:tabs>
          <w:tab w:val="left" w:pos="360"/>
        </w:tabs>
        <w:jc w:val="both"/>
      </w:pPr>
    </w:p>
    <w:p w14:paraId="6EDE48E3" w14:textId="1A564150" w:rsidR="00252AFC" w:rsidRPr="00C2390B" w:rsidRDefault="00F516AA" w:rsidP="00F516AA">
      <w:pPr>
        <w:tabs>
          <w:tab w:val="left" w:pos="360"/>
        </w:tabs>
        <w:jc w:val="both"/>
      </w:pPr>
      <w:r w:rsidRPr="00C2390B">
        <w:t>U istom mjesecu</w:t>
      </w:r>
      <w:r w:rsidR="00E25B5C">
        <w:t>, lipnju 2021.,</w:t>
      </w:r>
      <w:r w:rsidRPr="00C2390B">
        <w:t xml:space="preserve"> Republika Hrvatska se zadužila na domaćem financijskom tržištu u iznosu 2 milijarde kuna, uz fiksnu kamatnu stopu 0,198% godišnje. Glavnica će se otplaćivati u jednakim polugodišnjim ratama od kojih prva dospijeva 31. prosinca 2021., a posljednja 30. lipnja 2026.</w:t>
      </w:r>
    </w:p>
    <w:p w14:paraId="3C0224E2" w14:textId="77777777" w:rsidR="00252AFC" w:rsidRDefault="00252AFC" w:rsidP="00F66D89">
      <w:pPr>
        <w:tabs>
          <w:tab w:val="left" w:pos="360"/>
        </w:tabs>
        <w:rPr>
          <w:i/>
          <w:highlight w:val="red"/>
        </w:rPr>
      </w:pPr>
    </w:p>
    <w:p w14:paraId="50562967" w14:textId="77777777" w:rsidR="00187157" w:rsidRPr="003B30B6" w:rsidRDefault="00187157" w:rsidP="00187157">
      <w:pPr>
        <w:jc w:val="center"/>
        <w:rPr>
          <w:bCs/>
          <w:sz w:val="28"/>
          <w:szCs w:val="28"/>
        </w:rPr>
      </w:pPr>
    </w:p>
    <w:p w14:paraId="04CA80AC" w14:textId="48014DE4" w:rsidR="007C376F" w:rsidRPr="00C85DCC" w:rsidRDefault="00ED1991" w:rsidP="007C376F">
      <w:pPr>
        <w:keepNext/>
        <w:jc w:val="center"/>
        <w:rPr>
          <w:bCs/>
          <w:sz w:val="28"/>
          <w:szCs w:val="28"/>
        </w:rPr>
      </w:pPr>
      <w:r>
        <w:rPr>
          <w:bCs/>
          <w:sz w:val="28"/>
          <w:szCs w:val="28"/>
        </w:rPr>
        <w:t>Bilješka 26</w:t>
      </w:r>
      <w:r w:rsidR="007C376F" w:rsidRPr="00C85DCC">
        <w:rPr>
          <w:bCs/>
          <w:sz w:val="28"/>
          <w:szCs w:val="28"/>
        </w:rPr>
        <w:t xml:space="preserve">. </w:t>
      </w:r>
    </w:p>
    <w:p w14:paraId="67B703B3" w14:textId="77777777" w:rsidR="007C376F" w:rsidRPr="00C85DCC" w:rsidRDefault="007C376F" w:rsidP="007C376F">
      <w:pPr>
        <w:keepNext/>
        <w:jc w:val="center"/>
        <w:rPr>
          <w:bCs/>
          <w:sz w:val="28"/>
          <w:szCs w:val="28"/>
        </w:rPr>
      </w:pPr>
      <w:r w:rsidRPr="00C85DCC">
        <w:rPr>
          <w:bCs/>
          <w:sz w:val="28"/>
          <w:szCs w:val="28"/>
        </w:rPr>
        <w:t>AOP 219 Obveze za zajmove od međunarodnih organizacija</w:t>
      </w:r>
    </w:p>
    <w:p w14:paraId="7315D339" w14:textId="2EA0EEF7" w:rsidR="007C376F" w:rsidRPr="00C2390B" w:rsidRDefault="007C376F" w:rsidP="007C376F">
      <w:pPr>
        <w:jc w:val="both"/>
        <w:rPr>
          <w:bCs/>
          <w:szCs w:val="28"/>
        </w:rPr>
      </w:pPr>
      <w:r w:rsidRPr="00C2390B">
        <w:rPr>
          <w:bCs/>
          <w:szCs w:val="28"/>
        </w:rPr>
        <w:t xml:space="preserve">Iznos od 8.892.223.350 </w:t>
      </w:r>
      <w:r w:rsidRPr="00C2390B">
        <w:rPr>
          <w:bCs/>
        </w:rPr>
        <w:t>kuna</w:t>
      </w:r>
      <w:r w:rsidRPr="00C2390B">
        <w:rPr>
          <w:bCs/>
          <w:szCs w:val="28"/>
        </w:rPr>
        <w:t xml:space="preserve"> u 2021. odnosi se na obveze za zajmove od međunarodnih organizacija. Analitički prikaz o</w:t>
      </w:r>
      <w:r w:rsidR="00C85DCC">
        <w:rPr>
          <w:bCs/>
          <w:szCs w:val="28"/>
        </w:rPr>
        <w:t>vih zajmova daje se u Tablici 14</w:t>
      </w:r>
      <w:r w:rsidRPr="00C2390B">
        <w:rPr>
          <w:bCs/>
          <w:szCs w:val="28"/>
        </w:rPr>
        <w:t>.</w:t>
      </w:r>
    </w:p>
    <w:p w14:paraId="7E93A54E" w14:textId="77777777" w:rsidR="00187157" w:rsidRPr="00C2390B" w:rsidRDefault="00187157" w:rsidP="00187157">
      <w:pPr>
        <w:jc w:val="both"/>
        <w:rPr>
          <w:bCs/>
          <w:szCs w:val="28"/>
        </w:rPr>
      </w:pPr>
    </w:p>
    <w:p w14:paraId="0FDCDC29" w14:textId="1B566BAC" w:rsidR="007C376F" w:rsidRPr="00C2390B" w:rsidRDefault="00ED1991" w:rsidP="00B74A4C">
      <w:pPr>
        <w:keepNext/>
        <w:jc w:val="both"/>
        <w:rPr>
          <w:b/>
          <w:sz w:val="20"/>
          <w:szCs w:val="20"/>
        </w:rPr>
      </w:pPr>
      <w:r>
        <w:rPr>
          <w:b/>
          <w:sz w:val="20"/>
          <w:szCs w:val="20"/>
        </w:rPr>
        <w:t>Tablica 14</w:t>
      </w:r>
      <w:r w:rsidR="00187157" w:rsidRPr="00C2390B">
        <w:rPr>
          <w:b/>
          <w:sz w:val="20"/>
          <w:szCs w:val="20"/>
        </w:rPr>
        <w:t>.</w:t>
      </w:r>
    </w:p>
    <w:tbl>
      <w:tblPr>
        <w:tblW w:w="9900" w:type="dxa"/>
        <w:jc w:val="center"/>
        <w:tblLook w:val="04A0" w:firstRow="1" w:lastRow="0" w:firstColumn="1" w:lastColumn="0" w:noHBand="0" w:noVBand="1"/>
      </w:tblPr>
      <w:tblGrid>
        <w:gridCol w:w="1083"/>
        <w:gridCol w:w="4212"/>
        <w:gridCol w:w="782"/>
        <w:gridCol w:w="794"/>
        <w:gridCol w:w="1616"/>
        <w:gridCol w:w="1660"/>
      </w:tblGrid>
      <w:tr w:rsidR="00BB45DC" w:rsidRPr="00C2390B" w14:paraId="6934A115" w14:textId="77777777" w:rsidTr="00BB45DC">
        <w:trPr>
          <w:trHeight w:val="840"/>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8FFE" w14:textId="77777777" w:rsidR="00BB45DC" w:rsidRPr="00C2390B" w:rsidRDefault="00BB45DC">
            <w:pPr>
              <w:jc w:val="center"/>
              <w:rPr>
                <w:b/>
                <w:bCs/>
                <w:sz w:val="20"/>
                <w:szCs w:val="20"/>
              </w:rPr>
            </w:pPr>
            <w:r w:rsidRPr="00C2390B">
              <w:rPr>
                <w:b/>
                <w:bCs/>
                <w:sz w:val="20"/>
                <w:szCs w:val="20"/>
              </w:rPr>
              <w:t>Red. broj</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74CE98E" w14:textId="77777777" w:rsidR="00BB45DC" w:rsidRPr="00C2390B" w:rsidRDefault="00BB45DC">
            <w:pPr>
              <w:jc w:val="center"/>
              <w:rPr>
                <w:b/>
                <w:bCs/>
                <w:sz w:val="20"/>
                <w:szCs w:val="20"/>
              </w:rPr>
            </w:pPr>
            <w:r w:rsidRPr="00C2390B">
              <w:rPr>
                <w:b/>
                <w:bCs/>
                <w:sz w:val="20"/>
                <w:szCs w:val="20"/>
              </w:rPr>
              <w:t>Namjena</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7CA89DBC" w14:textId="77777777" w:rsidR="00BB45DC" w:rsidRPr="00C2390B" w:rsidRDefault="00BB45DC">
            <w:pPr>
              <w:jc w:val="center"/>
              <w:rPr>
                <w:b/>
                <w:bCs/>
                <w:sz w:val="20"/>
                <w:szCs w:val="20"/>
              </w:rPr>
            </w:pPr>
            <w:r w:rsidRPr="00C2390B">
              <w:rPr>
                <w:b/>
                <w:bCs/>
                <w:sz w:val="20"/>
                <w:szCs w:val="20"/>
              </w:rPr>
              <w:t>Banka</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6BB83B7E" w14:textId="77777777" w:rsidR="00BB45DC" w:rsidRPr="00C2390B" w:rsidRDefault="00BB45DC">
            <w:pPr>
              <w:jc w:val="center"/>
              <w:rPr>
                <w:b/>
                <w:bCs/>
                <w:sz w:val="20"/>
                <w:szCs w:val="20"/>
              </w:rPr>
            </w:pPr>
            <w:r w:rsidRPr="00C2390B">
              <w:rPr>
                <w:b/>
                <w:bCs/>
                <w:sz w:val="20"/>
                <w:szCs w:val="20"/>
              </w:rPr>
              <w:t>Valuta</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15CF36E7" w14:textId="77777777" w:rsidR="00BB45DC" w:rsidRPr="00C2390B" w:rsidRDefault="00BB45DC">
            <w:pPr>
              <w:jc w:val="center"/>
              <w:rPr>
                <w:b/>
                <w:bCs/>
                <w:sz w:val="20"/>
                <w:szCs w:val="20"/>
              </w:rPr>
            </w:pPr>
            <w:r w:rsidRPr="00C2390B">
              <w:rPr>
                <w:b/>
                <w:bCs/>
                <w:sz w:val="20"/>
                <w:szCs w:val="20"/>
              </w:rPr>
              <w:t>Stanje obveza na dan 31.12.2021.</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97A0592" w14:textId="77777777" w:rsidR="00BB45DC" w:rsidRPr="00C2390B" w:rsidRDefault="00BB45DC">
            <w:pPr>
              <w:jc w:val="center"/>
              <w:rPr>
                <w:b/>
                <w:bCs/>
                <w:sz w:val="20"/>
                <w:szCs w:val="20"/>
              </w:rPr>
            </w:pPr>
            <w:r w:rsidRPr="00C2390B">
              <w:rPr>
                <w:b/>
                <w:bCs/>
                <w:sz w:val="20"/>
                <w:szCs w:val="20"/>
              </w:rPr>
              <w:t>Stanje obveza na 31.12.2021.              u kunama</w:t>
            </w:r>
          </w:p>
        </w:tc>
      </w:tr>
      <w:tr w:rsidR="00BB45DC" w:rsidRPr="00C2390B" w14:paraId="02CB1E63"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31483D0" w14:textId="77777777" w:rsidR="00BB45DC" w:rsidRPr="00C2390B" w:rsidRDefault="00BB45DC">
            <w:pPr>
              <w:jc w:val="center"/>
              <w:rPr>
                <w:sz w:val="20"/>
                <w:szCs w:val="20"/>
              </w:rPr>
            </w:pPr>
            <w:r w:rsidRPr="00C2390B">
              <w:rPr>
                <w:sz w:val="20"/>
                <w:szCs w:val="20"/>
              </w:rPr>
              <w:lastRenderedPageBreak/>
              <w:t>1.</w:t>
            </w:r>
          </w:p>
        </w:tc>
        <w:tc>
          <w:tcPr>
            <w:tcW w:w="4212" w:type="dxa"/>
            <w:tcBorders>
              <w:top w:val="nil"/>
              <w:left w:val="nil"/>
              <w:bottom w:val="single" w:sz="4" w:space="0" w:color="auto"/>
              <w:right w:val="single" w:sz="4" w:space="0" w:color="auto"/>
            </w:tcBorders>
            <w:shd w:val="clear" w:color="auto" w:fill="auto"/>
            <w:vAlign w:val="center"/>
            <w:hideMark/>
          </w:tcPr>
          <w:p w14:paraId="65118C97" w14:textId="77777777" w:rsidR="00BB45DC" w:rsidRPr="00C2390B" w:rsidRDefault="00BB45DC">
            <w:pPr>
              <w:rPr>
                <w:sz w:val="20"/>
                <w:szCs w:val="20"/>
              </w:rPr>
            </w:pPr>
            <w:r w:rsidRPr="00C2390B">
              <w:rPr>
                <w:sz w:val="20"/>
                <w:szCs w:val="20"/>
              </w:rPr>
              <w:t>F/P 01351-003-001 - Projekt obnove zdravstvene infrastrukture</w:t>
            </w:r>
          </w:p>
        </w:tc>
        <w:tc>
          <w:tcPr>
            <w:tcW w:w="782" w:type="dxa"/>
            <w:tcBorders>
              <w:top w:val="nil"/>
              <w:left w:val="nil"/>
              <w:bottom w:val="single" w:sz="4" w:space="0" w:color="auto"/>
              <w:right w:val="single" w:sz="4" w:space="0" w:color="auto"/>
            </w:tcBorders>
            <w:shd w:val="clear" w:color="auto" w:fill="auto"/>
            <w:noWrap/>
            <w:vAlign w:val="center"/>
            <w:hideMark/>
          </w:tcPr>
          <w:p w14:paraId="6D4B6860"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00F01DD2"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6B4A6FB" w14:textId="77777777" w:rsidR="00BB45DC" w:rsidRPr="00C2390B" w:rsidRDefault="00BB45DC">
            <w:pPr>
              <w:jc w:val="right"/>
              <w:rPr>
                <w:sz w:val="20"/>
                <w:szCs w:val="20"/>
              </w:rPr>
            </w:pPr>
            <w:r w:rsidRPr="00C2390B">
              <w:rPr>
                <w:sz w:val="20"/>
                <w:szCs w:val="20"/>
              </w:rPr>
              <w:t>1.950.000,00</w:t>
            </w:r>
          </w:p>
        </w:tc>
        <w:tc>
          <w:tcPr>
            <w:tcW w:w="1660" w:type="dxa"/>
            <w:tcBorders>
              <w:top w:val="nil"/>
              <w:left w:val="nil"/>
              <w:bottom w:val="single" w:sz="4" w:space="0" w:color="auto"/>
              <w:right w:val="single" w:sz="4" w:space="0" w:color="auto"/>
            </w:tcBorders>
            <w:shd w:val="clear" w:color="auto" w:fill="auto"/>
            <w:noWrap/>
            <w:vAlign w:val="center"/>
            <w:hideMark/>
          </w:tcPr>
          <w:p w14:paraId="2B76ACAC" w14:textId="77777777" w:rsidR="00BB45DC" w:rsidRPr="00C2390B" w:rsidRDefault="00BB45DC">
            <w:pPr>
              <w:jc w:val="right"/>
              <w:rPr>
                <w:sz w:val="20"/>
                <w:szCs w:val="20"/>
              </w:rPr>
            </w:pPr>
            <w:r w:rsidRPr="00C2390B">
              <w:rPr>
                <w:sz w:val="20"/>
                <w:szCs w:val="20"/>
              </w:rPr>
              <w:t>14.658.481,50</w:t>
            </w:r>
          </w:p>
        </w:tc>
      </w:tr>
      <w:tr w:rsidR="00BB45DC" w:rsidRPr="00C2390B" w14:paraId="76980B32"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5597A45" w14:textId="77777777" w:rsidR="00BB45DC" w:rsidRPr="00C2390B" w:rsidRDefault="00BB45DC">
            <w:pPr>
              <w:jc w:val="center"/>
              <w:rPr>
                <w:sz w:val="20"/>
                <w:szCs w:val="20"/>
              </w:rPr>
            </w:pPr>
            <w:r w:rsidRPr="00C2390B">
              <w:rPr>
                <w:sz w:val="20"/>
                <w:szCs w:val="20"/>
              </w:rPr>
              <w:t>2.</w:t>
            </w:r>
          </w:p>
        </w:tc>
        <w:tc>
          <w:tcPr>
            <w:tcW w:w="4212" w:type="dxa"/>
            <w:tcBorders>
              <w:top w:val="nil"/>
              <w:left w:val="nil"/>
              <w:bottom w:val="single" w:sz="4" w:space="0" w:color="auto"/>
              <w:right w:val="single" w:sz="4" w:space="0" w:color="auto"/>
            </w:tcBorders>
            <w:shd w:val="clear" w:color="auto" w:fill="auto"/>
            <w:vAlign w:val="center"/>
            <w:hideMark/>
          </w:tcPr>
          <w:p w14:paraId="14B4710A" w14:textId="77777777" w:rsidR="00BB45DC" w:rsidRPr="00C2390B" w:rsidRDefault="00BB45DC">
            <w:pPr>
              <w:rPr>
                <w:sz w:val="20"/>
                <w:szCs w:val="20"/>
              </w:rPr>
            </w:pPr>
            <w:r w:rsidRPr="00C2390B">
              <w:rPr>
                <w:sz w:val="20"/>
                <w:szCs w:val="20"/>
              </w:rPr>
              <w:t>F/P 01456-004-001 - Projekt obnove i izgradnje školskih objekata u RH</w:t>
            </w:r>
          </w:p>
        </w:tc>
        <w:tc>
          <w:tcPr>
            <w:tcW w:w="782" w:type="dxa"/>
            <w:tcBorders>
              <w:top w:val="nil"/>
              <w:left w:val="nil"/>
              <w:bottom w:val="single" w:sz="4" w:space="0" w:color="auto"/>
              <w:right w:val="single" w:sz="4" w:space="0" w:color="auto"/>
            </w:tcBorders>
            <w:shd w:val="clear" w:color="auto" w:fill="auto"/>
            <w:noWrap/>
            <w:vAlign w:val="center"/>
            <w:hideMark/>
          </w:tcPr>
          <w:p w14:paraId="696155C3"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5623FE78"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3DE61943" w14:textId="77777777" w:rsidR="00BB45DC" w:rsidRPr="00C2390B" w:rsidRDefault="00BB45DC">
            <w:pPr>
              <w:jc w:val="right"/>
              <w:rPr>
                <w:sz w:val="20"/>
                <w:szCs w:val="20"/>
              </w:rPr>
            </w:pPr>
            <w:r w:rsidRPr="00C2390B">
              <w:rPr>
                <w:sz w:val="20"/>
                <w:szCs w:val="20"/>
              </w:rPr>
              <w:t>2.014.240,00</w:t>
            </w:r>
          </w:p>
        </w:tc>
        <w:tc>
          <w:tcPr>
            <w:tcW w:w="1660" w:type="dxa"/>
            <w:tcBorders>
              <w:top w:val="nil"/>
              <w:left w:val="nil"/>
              <w:bottom w:val="single" w:sz="4" w:space="0" w:color="auto"/>
              <w:right w:val="single" w:sz="4" w:space="0" w:color="auto"/>
            </w:tcBorders>
            <w:shd w:val="clear" w:color="auto" w:fill="auto"/>
            <w:noWrap/>
            <w:vAlign w:val="center"/>
            <w:hideMark/>
          </w:tcPr>
          <w:p w14:paraId="3F63E6BF" w14:textId="77777777" w:rsidR="00BB45DC" w:rsidRPr="00C2390B" w:rsidRDefault="00BB45DC">
            <w:pPr>
              <w:jc w:val="right"/>
              <w:rPr>
                <w:sz w:val="20"/>
                <w:szCs w:val="20"/>
              </w:rPr>
            </w:pPr>
            <w:r w:rsidRPr="00C2390B">
              <w:rPr>
                <w:sz w:val="20"/>
                <w:szCs w:val="20"/>
              </w:rPr>
              <w:t>15.141.384,50</w:t>
            </w:r>
          </w:p>
        </w:tc>
      </w:tr>
      <w:tr w:rsidR="00BB45DC" w:rsidRPr="00C2390B" w14:paraId="3848BB12"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1F266E3" w14:textId="77777777" w:rsidR="00BB45DC" w:rsidRPr="00C2390B" w:rsidRDefault="00BB45DC">
            <w:pPr>
              <w:jc w:val="center"/>
              <w:rPr>
                <w:sz w:val="20"/>
                <w:szCs w:val="20"/>
              </w:rPr>
            </w:pPr>
            <w:r w:rsidRPr="00C2390B">
              <w:rPr>
                <w:sz w:val="20"/>
                <w:szCs w:val="20"/>
              </w:rPr>
              <w:t>3.</w:t>
            </w:r>
          </w:p>
        </w:tc>
        <w:tc>
          <w:tcPr>
            <w:tcW w:w="4212" w:type="dxa"/>
            <w:tcBorders>
              <w:top w:val="nil"/>
              <w:left w:val="nil"/>
              <w:bottom w:val="single" w:sz="4" w:space="0" w:color="auto"/>
              <w:right w:val="single" w:sz="4" w:space="0" w:color="auto"/>
            </w:tcBorders>
            <w:shd w:val="clear" w:color="auto" w:fill="auto"/>
            <w:vAlign w:val="center"/>
            <w:hideMark/>
          </w:tcPr>
          <w:p w14:paraId="0B61F7B2" w14:textId="77777777" w:rsidR="00BB45DC" w:rsidRPr="00C2390B" w:rsidRDefault="00BB45DC">
            <w:pPr>
              <w:rPr>
                <w:sz w:val="20"/>
                <w:szCs w:val="20"/>
              </w:rPr>
            </w:pPr>
            <w:r w:rsidRPr="00C2390B">
              <w:rPr>
                <w:sz w:val="20"/>
                <w:szCs w:val="20"/>
              </w:rPr>
              <w:t>F/P 01498-003-002 - Projekt izgradnje objekata komunalne i društvene infrastrukture na hrv. otocima</w:t>
            </w:r>
          </w:p>
        </w:tc>
        <w:tc>
          <w:tcPr>
            <w:tcW w:w="782" w:type="dxa"/>
            <w:tcBorders>
              <w:top w:val="nil"/>
              <w:left w:val="nil"/>
              <w:bottom w:val="single" w:sz="4" w:space="0" w:color="auto"/>
              <w:right w:val="single" w:sz="4" w:space="0" w:color="auto"/>
            </w:tcBorders>
            <w:shd w:val="clear" w:color="auto" w:fill="auto"/>
            <w:noWrap/>
            <w:vAlign w:val="center"/>
            <w:hideMark/>
          </w:tcPr>
          <w:p w14:paraId="48682A5A"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5F2D8B7F"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14D67F1" w14:textId="77777777" w:rsidR="00BB45DC" w:rsidRPr="00C2390B" w:rsidRDefault="00BB45DC">
            <w:pPr>
              <w:jc w:val="right"/>
              <w:rPr>
                <w:sz w:val="20"/>
                <w:szCs w:val="20"/>
              </w:rPr>
            </w:pPr>
            <w:r w:rsidRPr="00C2390B">
              <w:rPr>
                <w:sz w:val="20"/>
                <w:szCs w:val="20"/>
              </w:rPr>
              <w:t>245.000,00</w:t>
            </w:r>
          </w:p>
        </w:tc>
        <w:tc>
          <w:tcPr>
            <w:tcW w:w="1660" w:type="dxa"/>
            <w:tcBorders>
              <w:top w:val="nil"/>
              <w:left w:val="nil"/>
              <w:bottom w:val="single" w:sz="4" w:space="0" w:color="auto"/>
              <w:right w:val="single" w:sz="4" w:space="0" w:color="auto"/>
            </w:tcBorders>
            <w:shd w:val="clear" w:color="auto" w:fill="auto"/>
            <w:noWrap/>
            <w:vAlign w:val="center"/>
            <w:hideMark/>
          </w:tcPr>
          <w:p w14:paraId="41997C77" w14:textId="77777777" w:rsidR="00BB45DC" w:rsidRPr="00C2390B" w:rsidRDefault="00BB45DC">
            <w:pPr>
              <w:jc w:val="right"/>
              <w:rPr>
                <w:sz w:val="20"/>
                <w:szCs w:val="20"/>
              </w:rPr>
            </w:pPr>
            <w:r w:rsidRPr="00C2390B">
              <w:rPr>
                <w:sz w:val="20"/>
                <w:szCs w:val="20"/>
              </w:rPr>
              <w:t>1.841.706,65</w:t>
            </w:r>
          </w:p>
        </w:tc>
      </w:tr>
      <w:tr w:rsidR="00BB45DC" w:rsidRPr="00C2390B" w14:paraId="54A7D39F"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93D7336" w14:textId="77777777" w:rsidR="00BB45DC" w:rsidRPr="00C2390B" w:rsidRDefault="00BB45DC">
            <w:pPr>
              <w:jc w:val="center"/>
              <w:rPr>
                <w:sz w:val="20"/>
                <w:szCs w:val="20"/>
              </w:rPr>
            </w:pPr>
            <w:r w:rsidRPr="00C2390B">
              <w:rPr>
                <w:sz w:val="20"/>
                <w:szCs w:val="20"/>
              </w:rPr>
              <w:t>4.</w:t>
            </w:r>
          </w:p>
        </w:tc>
        <w:tc>
          <w:tcPr>
            <w:tcW w:w="4212" w:type="dxa"/>
            <w:tcBorders>
              <w:top w:val="nil"/>
              <w:left w:val="nil"/>
              <w:bottom w:val="single" w:sz="4" w:space="0" w:color="auto"/>
              <w:right w:val="single" w:sz="4" w:space="0" w:color="auto"/>
            </w:tcBorders>
            <w:shd w:val="clear" w:color="auto" w:fill="auto"/>
            <w:vAlign w:val="center"/>
            <w:hideMark/>
          </w:tcPr>
          <w:p w14:paraId="2579B802" w14:textId="77777777" w:rsidR="00BB45DC" w:rsidRPr="00C2390B" w:rsidRDefault="00BB45DC">
            <w:pPr>
              <w:rPr>
                <w:sz w:val="20"/>
                <w:szCs w:val="20"/>
              </w:rPr>
            </w:pPr>
            <w:r w:rsidRPr="00C2390B">
              <w:rPr>
                <w:sz w:val="20"/>
                <w:szCs w:val="20"/>
              </w:rPr>
              <w:t>F/P 01498-004-002 - Projekt izgradnje objekata komunalne i društvene infrastrukture na hrv. otocima</w:t>
            </w:r>
          </w:p>
        </w:tc>
        <w:tc>
          <w:tcPr>
            <w:tcW w:w="782" w:type="dxa"/>
            <w:tcBorders>
              <w:top w:val="nil"/>
              <w:left w:val="nil"/>
              <w:bottom w:val="single" w:sz="4" w:space="0" w:color="auto"/>
              <w:right w:val="single" w:sz="4" w:space="0" w:color="auto"/>
            </w:tcBorders>
            <w:shd w:val="clear" w:color="auto" w:fill="auto"/>
            <w:noWrap/>
            <w:vAlign w:val="center"/>
            <w:hideMark/>
          </w:tcPr>
          <w:p w14:paraId="4994F2F4"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72394664"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A4E5CAC" w14:textId="77777777" w:rsidR="00BB45DC" w:rsidRPr="00C2390B" w:rsidRDefault="00BB45DC">
            <w:pPr>
              <w:jc w:val="right"/>
              <w:rPr>
                <w:sz w:val="20"/>
                <w:szCs w:val="20"/>
              </w:rPr>
            </w:pPr>
            <w:r w:rsidRPr="00C2390B">
              <w:rPr>
                <w:sz w:val="20"/>
                <w:szCs w:val="20"/>
              </w:rPr>
              <w:t>3.086.400,00</w:t>
            </w:r>
          </w:p>
        </w:tc>
        <w:tc>
          <w:tcPr>
            <w:tcW w:w="1660" w:type="dxa"/>
            <w:tcBorders>
              <w:top w:val="nil"/>
              <w:left w:val="nil"/>
              <w:bottom w:val="single" w:sz="4" w:space="0" w:color="auto"/>
              <w:right w:val="single" w:sz="4" w:space="0" w:color="auto"/>
            </w:tcBorders>
            <w:shd w:val="clear" w:color="auto" w:fill="auto"/>
            <w:noWrap/>
            <w:vAlign w:val="center"/>
            <w:hideMark/>
          </w:tcPr>
          <w:p w14:paraId="4B45ED27" w14:textId="77777777" w:rsidR="00BB45DC" w:rsidRPr="00C2390B" w:rsidRDefault="00BB45DC">
            <w:pPr>
              <w:jc w:val="right"/>
              <w:rPr>
                <w:sz w:val="20"/>
                <w:szCs w:val="20"/>
              </w:rPr>
            </w:pPr>
            <w:r w:rsidRPr="00C2390B">
              <w:rPr>
                <w:sz w:val="20"/>
                <w:szCs w:val="20"/>
              </w:rPr>
              <w:t>23.200.993,49</w:t>
            </w:r>
          </w:p>
        </w:tc>
      </w:tr>
      <w:tr w:rsidR="00BB45DC" w:rsidRPr="00C2390B" w14:paraId="7AF0F4A8"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56E6E87" w14:textId="77777777" w:rsidR="00BB45DC" w:rsidRPr="00C2390B" w:rsidRDefault="00BB45DC">
            <w:pPr>
              <w:jc w:val="center"/>
              <w:rPr>
                <w:sz w:val="20"/>
                <w:szCs w:val="20"/>
              </w:rPr>
            </w:pPr>
            <w:r w:rsidRPr="00C2390B">
              <w:rPr>
                <w:sz w:val="20"/>
                <w:szCs w:val="20"/>
              </w:rPr>
              <w:t>5.</w:t>
            </w:r>
          </w:p>
        </w:tc>
        <w:tc>
          <w:tcPr>
            <w:tcW w:w="4212" w:type="dxa"/>
            <w:tcBorders>
              <w:top w:val="nil"/>
              <w:left w:val="nil"/>
              <w:bottom w:val="single" w:sz="4" w:space="0" w:color="auto"/>
              <w:right w:val="single" w:sz="4" w:space="0" w:color="auto"/>
            </w:tcBorders>
            <w:shd w:val="clear" w:color="auto" w:fill="auto"/>
            <w:vAlign w:val="center"/>
            <w:hideMark/>
          </w:tcPr>
          <w:p w14:paraId="3892FCDF" w14:textId="77777777" w:rsidR="00BB45DC" w:rsidRPr="00C2390B" w:rsidRDefault="00BB45DC">
            <w:pPr>
              <w:rPr>
                <w:sz w:val="20"/>
                <w:szCs w:val="20"/>
              </w:rPr>
            </w:pPr>
            <w:r w:rsidRPr="00C2390B">
              <w:rPr>
                <w:sz w:val="20"/>
                <w:szCs w:val="20"/>
              </w:rPr>
              <w:t>F/P 01498-005-002 - Projekt izgradnje objekata komunalne i društvene infrastrukture na hrv. otocima</w:t>
            </w:r>
          </w:p>
        </w:tc>
        <w:tc>
          <w:tcPr>
            <w:tcW w:w="782" w:type="dxa"/>
            <w:tcBorders>
              <w:top w:val="nil"/>
              <w:left w:val="nil"/>
              <w:bottom w:val="single" w:sz="4" w:space="0" w:color="auto"/>
              <w:right w:val="single" w:sz="4" w:space="0" w:color="auto"/>
            </w:tcBorders>
            <w:shd w:val="clear" w:color="auto" w:fill="auto"/>
            <w:noWrap/>
            <w:vAlign w:val="center"/>
            <w:hideMark/>
          </w:tcPr>
          <w:p w14:paraId="79FBC9F4"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4B7F98C4"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9146C3E" w14:textId="77777777" w:rsidR="00BB45DC" w:rsidRPr="00C2390B" w:rsidRDefault="00BB45DC">
            <w:pPr>
              <w:jc w:val="right"/>
              <w:rPr>
                <w:sz w:val="20"/>
                <w:szCs w:val="20"/>
              </w:rPr>
            </w:pPr>
            <w:r w:rsidRPr="00C2390B">
              <w:rPr>
                <w:sz w:val="20"/>
                <w:szCs w:val="20"/>
              </w:rPr>
              <w:t>808.800,00</w:t>
            </w:r>
          </w:p>
        </w:tc>
        <w:tc>
          <w:tcPr>
            <w:tcW w:w="1660" w:type="dxa"/>
            <w:tcBorders>
              <w:top w:val="nil"/>
              <w:left w:val="nil"/>
              <w:bottom w:val="single" w:sz="4" w:space="0" w:color="auto"/>
              <w:right w:val="single" w:sz="4" w:space="0" w:color="auto"/>
            </w:tcBorders>
            <w:shd w:val="clear" w:color="auto" w:fill="auto"/>
            <w:noWrap/>
            <w:vAlign w:val="center"/>
            <w:hideMark/>
          </w:tcPr>
          <w:p w14:paraId="1F898CF2" w14:textId="77777777" w:rsidR="00BB45DC" w:rsidRPr="00C2390B" w:rsidRDefault="00BB45DC">
            <w:pPr>
              <w:jc w:val="right"/>
              <w:rPr>
                <w:sz w:val="20"/>
                <w:szCs w:val="20"/>
              </w:rPr>
            </w:pPr>
            <w:r w:rsidRPr="00C2390B">
              <w:rPr>
                <w:sz w:val="20"/>
                <w:szCs w:val="20"/>
              </w:rPr>
              <w:t>6.079.887,10</w:t>
            </w:r>
          </w:p>
        </w:tc>
      </w:tr>
      <w:tr w:rsidR="00BB45DC" w:rsidRPr="00C2390B" w14:paraId="36E9D048"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8E6BB95" w14:textId="77777777" w:rsidR="00BB45DC" w:rsidRPr="00C2390B" w:rsidRDefault="00BB45DC">
            <w:pPr>
              <w:jc w:val="center"/>
              <w:rPr>
                <w:sz w:val="20"/>
                <w:szCs w:val="20"/>
              </w:rPr>
            </w:pPr>
            <w:r w:rsidRPr="00C2390B">
              <w:rPr>
                <w:sz w:val="20"/>
                <w:szCs w:val="20"/>
              </w:rPr>
              <w:t>6.</w:t>
            </w:r>
          </w:p>
        </w:tc>
        <w:tc>
          <w:tcPr>
            <w:tcW w:w="4212" w:type="dxa"/>
            <w:tcBorders>
              <w:top w:val="nil"/>
              <w:left w:val="nil"/>
              <w:bottom w:val="single" w:sz="4" w:space="0" w:color="auto"/>
              <w:right w:val="single" w:sz="4" w:space="0" w:color="auto"/>
            </w:tcBorders>
            <w:shd w:val="clear" w:color="auto" w:fill="auto"/>
            <w:vAlign w:val="center"/>
            <w:hideMark/>
          </w:tcPr>
          <w:p w14:paraId="16B701FF" w14:textId="77777777" w:rsidR="00BB45DC" w:rsidRPr="00C2390B" w:rsidRDefault="00BB45DC">
            <w:pPr>
              <w:rPr>
                <w:sz w:val="20"/>
                <w:szCs w:val="20"/>
              </w:rPr>
            </w:pPr>
            <w:r w:rsidRPr="00C2390B">
              <w:rPr>
                <w:sz w:val="20"/>
                <w:szCs w:val="20"/>
              </w:rPr>
              <w:t>F/P 01498-006-002 - Projekt izgradnje objekata komunalne i društvene infrastrukture na hrv. otocima</w:t>
            </w:r>
          </w:p>
        </w:tc>
        <w:tc>
          <w:tcPr>
            <w:tcW w:w="782" w:type="dxa"/>
            <w:tcBorders>
              <w:top w:val="nil"/>
              <w:left w:val="nil"/>
              <w:bottom w:val="single" w:sz="4" w:space="0" w:color="auto"/>
              <w:right w:val="single" w:sz="4" w:space="0" w:color="auto"/>
            </w:tcBorders>
            <w:shd w:val="clear" w:color="auto" w:fill="auto"/>
            <w:noWrap/>
            <w:vAlign w:val="center"/>
            <w:hideMark/>
          </w:tcPr>
          <w:p w14:paraId="05D45654"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E007AF4"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3379C373" w14:textId="77777777" w:rsidR="00BB45DC" w:rsidRPr="00C2390B" w:rsidRDefault="00BB45DC">
            <w:pPr>
              <w:jc w:val="right"/>
              <w:rPr>
                <w:sz w:val="20"/>
                <w:szCs w:val="20"/>
              </w:rPr>
            </w:pPr>
            <w:r w:rsidRPr="00C2390B">
              <w:rPr>
                <w:sz w:val="20"/>
                <w:szCs w:val="20"/>
              </w:rPr>
              <w:t>921.915,20</w:t>
            </w:r>
          </w:p>
        </w:tc>
        <w:tc>
          <w:tcPr>
            <w:tcW w:w="1660" w:type="dxa"/>
            <w:tcBorders>
              <w:top w:val="nil"/>
              <w:left w:val="nil"/>
              <w:bottom w:val="single" w:sz="4" w:space="0" w:color="auto"/>
              <w:right w:val="single" w:sz="4" w:space="0" w:color="auto"/>
            </w:tcBorders>
            <w:shd w:val="clear" w:color="auto" w:fill="auto"/>
            <w:noWrap/>
            <w:vAlign w:val="center"/>
            <w:hideMark/>
          </w:tcPr>
          <w:p w14:paraId="614BE054" w14:textId="77777777" w:rsidR="00BB45DC" w:rsidRPr="00C2390B" w:rsidRDefault="00BB45DC">
            <w:pPr>
              <w:jc w:val="right"/>
              <w:rPr>
                <w:sz w:val="20"/>
                <w:szCs w:val="20"/>
              </w:rPr>
            </w:pPr>
            <w:r w:rsidRPr="00C2390B">
              <w:rPr>
                <w:sz w:val="20"/>
                <w:szCs w:val="20"/>
              </w:rPr>
              <w:t>6.930.193,28</w:t>
            </w:r>
          </w:p>
        </w:tc>
      </w:tr>
      <w:tr w:rsidR="00BB45DC" w:rsidRPr="00C2390B" w14:paraId="77DAACF2"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2E824DC" w14:textId="77777777" w:rsidR="00BB45DC" w:rsidRPr="00C2390B" w:rsidRDefault="00BB45DC">
            <w:pPr>
              <w:jc w:val="center"/>
              <w:rPr>
                <w:sz w:val="20"/>
                <w:szCs w:val="20"/>
              </w:rPr>
            </w:pPr>
            <w:r w:rsidRPr="00C2390B">
              <w:rPr>
                <w:sz w:val="20"/>
                <w:szCs w:val="20"/>
              </w:rPr>
              <w:t>7.</w:t>
            </w:r>
          </w:p>
        </w:tc>
        <w:tc>
          <w:tcPr>
            <w:tcW w:w="4212" w:type="dxa"/>
            <w:tcBorders>
              <w:top w:val="nil"/>
              <w:left w:val="nil"/>
              <w:bottom w:val="single" w:sz="4" w:space="0" w:color="auto"/>
              <w:right w:val="single" w:sz="4" w:space="0" w:color="auto"/>
            </w:tcBorders>
            <w:shd w:val="clear" w:color="auto" w:fill="auto"/>
            <w:vAlign w:val="center"/>
            <w:hideMark/>
          </w:tcPr>
          <w:p w14:paraId="5EDAE96E" w14:textId="77777777" w:rsidR="00BB45DC" w:rsidRPr="00C2390B" w:rsidRDefault="00BB45DC">
            <w:pPr>
              <w:rPr>
                <w:sz w:val="20"/>
                <w:szCs w:val="20"/>
              </w:rPr>
            </w:pPr>
            <w:r w:rsidRPr="00C2390B">
              <w:rPr>
                <w:sz w:val="20"/>
                <w:szCs w:val="20"/>
              </w:rPr>
              <w:t>F/P 01498-007-002 - Projekt izgradnje objekata komunalne i društvene infrastrukture na hrv. otocima</w:t>
            </w:r>
          </w:p>
        </w:tc>
        <w:tc>
          <w:tcPr>
            <w:tcW w:w="782" w:type="dxa"/>
            <w:tcBorders>
              <w:top w:val="nil"/>
              <w:left w:val="nil"/>
              <w:bottom w:val="single" w:sz="4" w:space="0" w:color="auto"/>
              <w:right w:val="single" w:sz="4" w:space="0" w:color="auto"/>
            </w:tcBorders>
            <w:shd w:val="clear" w:color="auto" w:fill="auto"/>
            <w:noWrap/>
            <w:vAlign w:val="center"/>
            <w:hideMark/>
          </w:tcPr>
          <w:p w14:paraId="0F3A152E"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424B2E9F"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9486A58" w14:textId="77777777" w:rsidR="00BB45DC" w:rsidRPr="00C2390B" w:rsidRDefault="00BB45DC">
            <w:pPr>
              <w:jc w:val="right"/>
              <w:rPr>
                <w:sz w:val="20"/>
                <w:szCs w:val="20"/>
              </w:rPr>
            </w:pPr>
            <w:r w:rsidRPr="00C2390B">
              <w:rPr>
                <w:sz w:val="20"/>
                <w:szCs w:val="20"/>
              </w:rPr>
              <w:t>1.485.546,00</w:t>
            </w:r>
          </w:p>
        </w:tc>
        <w:tc>
          <w:tcPr>
            <w:tcW w:w="1660" w:type="dxa"/>
            <w:tcBorders>
              <w:top w:val="nil"/>
              <w:left w:val="nil"/>
              <w:bottom w:val="single" w:sz="4" w:space="0" w:color="auto"/>
              <w:right w:val="single" w:sz="4" w:space="0" w:color="auto"/>
            </w:tcBorders>
            <w:shd w:val="clear" w:color="auto" w:fill="auto"/>
            <w:noWrap/>
            <w:vAlign w:val="center"/>
            <w:hideMark/>
          </w:tcPr>
          <w:p w14:paraId="4A2490FA" w14:textId="77777777" w:rsidR="00BB45DC" w:rsidRPr="00C2390B" w:rsidRDefault="00BB45DC">
            <w:pPr>
              <w:jc w:val="right"/>
              <w:rPr>
                <w:sz w:val="20"/>
                <w:szCs w:val="20"/>
              </w:rPr>
            </w:pPr>
            <w:r w:rsidRPr="00C2390B">
              <w:rPr>
                <w:sz w:val="20"/>
                <w:szCs w:val="20"/>
              </w:rPr>
              <w:t>11.167.101,82</w:t>
            </w:r>
          </w:p>
        </w:tc>
      </w:tr>
      <w:tr w:rsidR="00BB45DC" w:rsidRPr="00C2390B" w14:paraId="2111395D"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1B29AFDC" w14:textId="77777777" w:rsidR="00BB45DC" w:rsidRPr="00C2390B" w:rsidRDefault="00BB45DC">
            <w:pPr>
              <w:jc w:val="center"/>
              <w:rPr>
                <w:sz w:val="20"/>
                <w:szCs w:val="20"/>
              </w:rPr>
            </w:pPr>
            <w:r w:rsidRPr="00C2390B">
              <w:rPr>
                <w:sz w:val="20"/>
                <w:szCs w:val="20"/>
              </w:rPr>
              <w:t>8.</w:t>
            </w:r>
          </w:p>
        </w:tc>
        <w:tc>
          <w:tcPr>
            <w:tcW w:w="4212" w:type="dxa"/>
            <w:tcBorders>
              <w:top w:val="nil"/>
              <w:left w:val="nil"/>
              <w:bottom w:val="single" w:sz="4" w:space="0" w:color="auto"/>
              <w:right w:val="single" w:sz="4" w:space="0" w:color="auto"/>
            </w:tcBorders>
            <w:shd w:val="clear" w:color="auto" w:fill="auto"/>
            <w:vAlign w:val="center"/>
            <w:hideMark/>
          </w:tcPr>
          <w:p w14:paraId="294C4CC9" w14:textId="77777777" w:rsidR="00BB45DC" w:rsidRPr="00C2390B" w:rsidRDefault="00BB45DC">
            <w:pPr>
              <w:rPr>
                <w:sz w:val="20"/>
                <w:szCs w:val="20"/>
              </w:rPr>
            </w:pPr>
            <w:r w:rsidRPr="00C2390B">
              <w:rPr>
                <w:sz w:val="20"/>
                <w:szCs w:val="20"/>
              </w:rPr>
              <w:t>F/P 01511-002-002 - Projekt "Istraživanje, obnova i revitalizacija kulturne baštine Ilok - Vukovar - Vučedol"</w:t>
            </w:r>
          </w:p>
        </w:tc>
        <w:tc>
          <w:tcPr>
            <w:tcW w:w="782" w:type="dxa"/>
            <w:tcBorders>
              <w:top w:val="nil"/>
              <w:left w:val="nil"/>
              <w:bottom w:val="single" w:sz="4" w:space="0" w:color="auto"/>
              <w:right w:val="single" w:sz="4" w:space="0" w:color="auto"/>
            </w:tcBorders>
            <w:shd w:val="clear" w:color="auto" w:fill="auto"/>
            <w:noWrap/>
            <w:vAlign w:val="center"/>
            <w:hideMark/>
          </w:tcPr>
          <w:p w14:paraId="6F2A87E5"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4DAC43F7"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64B84A99" w14:textId="77777777" w:rsidR="00BB45DC" w:rsidRPr="00C2390B" w:rsidRDefault="00BB45DC">
            <w:pPr>
              <w:jc w:val="right"/>
              <w:rPr>
                <w:sz w:val="20"/>
                <w:szCs w:val="20"/>
              </w:rPr>
            </w:pPr>
            <w:r w:rsidRPr="00C2390B">
              <w:rPr>
                <w:sz w:val="20"/>
                <w:szCs w:val="20"/>
              </w:rPr>
              <w:t>1.047.000,00</w:t>
            </w:r>
          </w:p>
        </w:tc>
        <w:tc>
          <w:tcPr>
            <w:tcW w:w="1660" w:type="dxa"/>
            <w:tcBorders>
              <w:top w:val="nil"/>
              <w:left w:val="nil"/>
              <w:bottom w:val="single" w:sz="4" w:space="0" w:color="auto"/>
              <w:right w:val="single" w:sz="4" w:space="0" w:color="auto"/>
            </w:tcBorders>
            <w:shd w:val="clear" w:color="auto" w:fill="auto"/>
            <w:noWrap/>
            <w:vAlign w:val="center"/>
            <w:hideMark/>
          </w:tcPr>
          <w:p w14:paraId="0D12B0B1" w14:textId="77777777" w:rsidR="00BB45DC" w:rsidRPr="00C2390B" w:rsidRDefault="00BB45DC">
            <w:pPr>
              <w:jc w:val="right"/>
              <w:rPr>
                <w:sz w:val="20"/>
                <w:szCs w:val="20"/>
              </w:rPr>
            </w:pPr>
            <w:r w:rsidRPr="00C2390B">
              <w:rPr>
                <w:sz w:val="20"/>
                <w:szCs w:val="20"/>
              </w:rPr>
              <w:t>7.870.476,99</w:t>
            </w:r>
          </w:p>
        </w:tc>
      </w:tr>
      <w:tr w:rsidR="00BB45DC" w:rsidRPr="00C2390B" w14:paraId="1B7983BD"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CD26E11" w14:textId="77777777" w:rsidR="00BB45DC" w:rsidRPr="00C2390B" w:rsidRDefault="00BB45DC">
            <w:pPr>
              <w:jc w:val="center"/>
              <w:rPr>
                <w:sz w:val="20"/>
                <w:szCs w:val="20"/>
              </w:rPr>
            </w:pPr>
            <w:r w:rsidRPr="00C2390B">
              <w:rPr>
                <w:sz w:val="20"/>
                <w:szCs w:val="20"/>
              </w:rPr>
              <w:t>9.</w:t>
            </w:r>
          </w:p>
        </w:tc>
        <w:tc>
          <w:tcPr>
            <w:tcW w:w="4212" w:type="dxa"/>
            <w:tcBorders>
              <w:top w:val="nil"/>
              <w:left w:val="nil"/>
              <w:bottom w:val="single" w:sz="4" w:space="0" w:color="auto"/>
              <w:right w:val="single" w:sz="4" w:space="0" w:color="auto"/>
            </w:tcBorders>
            <w:shd w:val="clear" w:color="auto" w:fill="auto"/>
            <w:vAlign w:val="center"/>
            <w:hideMark/>
          </w:tcPr>
          <w:p w14:paraId="1FD54E61" w14:textId="77777777" w:rsidR="00BB45DC" w:rsidRPr="00C2390B" w:rsidRDefault="00BB45DC">
            <w:pPr>
              <w:rPr>
                <w:sz w:val="20"/>
                <w:szCs w:val="20"/>
              </w:rPr>
            </w:pPr>
            <w:r w:rsidRPr="00C2390B">
              <w:rPr>
                <w:sz w:val="20"/>
                <w:szCs w:val="20"/>
              </w:rPr>
              <w:t>F/P 01511-003-002 - Projekt "Istraživanje, obnova i revitalizacija kulturne baštine Ilok - Vukovar - Vučedol"</w:t>
            </w:r>
          </w:p>
        </w:tc>
        <w:tc>
          <w:tcPr>
            <w:tcW w:w="782" w:type="dxa"/>
            <w:tcBorders>
              <w:top w:val="nil"/>
              <w:left w:val="nil"/>
              <w:bottom w:val="single" w:sz="4" w:space="0" w:color="auto"/>
              <w:right w:val="single" w:sz="4" w:space="0" w:color="auto"/>
            </w:tcBorders>
            <w:shd w:val="clear" w:color="auto" w:fill="auto"/>
            <w:noWrap/>
            <w:vAlign w:val="center"/>
            <w:hideMark/>
          </w:tcPr>
          <w:p w14:paraId="552CAEA9"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2E3577EA"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44622C6" w14:textId="77777777" w:rsidR="00BB45DC" w:rsidRPr="00C2390B" w:rsidRDefault="00BB45DC">
            <w:pPr>
              <w:jc w:val="right"/>
              <w:rPr>
                <w:sz w:val="20"/>
                <w:szCs w:val="20"/>
              </w:rPr>
            </w:pPr>
            <w:r w:rsidRPr="00C2390B">
              <w:rPr>
                <w:sz w:val="20"/>
                <w:szCs w:val="20"/>
              </w:rPr>
              <w:t>1.448.000,00</w:t>
            </w:r>
          </w:p>
        </w:tc>
        <w:tc>
          <w:tcPr>
            <w:tcW w:w="1660" w:type="dxa"/>
            <w:tcBorders>
              <w:top w:val="nil"/>
              <w:left w:val="nil"/>
              <w:bottom w:val="single" w:sz="4" w:space="0" w:color="auto"/>
              <w:right w:val="single" w:sz="4" w:space="0" w:color="auto"/>
            </w:tcBorders>
            <w:shd w:val="clear" w:color="auto" w:fill="auto"/>
            <w:noWrap/>
            <w:vAlign w:val="center"/>
            <w:hideMark/>
          </w:tcPr>
          <w:p w14:paraId="21B0ECCF" w14:textId="77777777" w:rsidR="00BB45DC" w:rsidRPr="00C2390B" w:rsidRDefault="00BB45DC">
            <w:pPr>
              <w:jc w:val="right"/>
              <w:rPr>
                <w:sz w:val="20"/>
                <w:szCs w:val="20"/>
              </w:rPr>
            </w:pPr>
            <w:r w:rsidRPr="00C2390B">
              <w:rPr>
                <w:sz w:val="20"/>
                <w:szCs w:val="20"/>
              </w:rPr>
              <w:t>10.884.862,16</w:t>
            </w:r>
          </w:p>
        </w:tc>
      </w:tr>
      <w:tr w:rsidR="00BB45DC" w:rsidRPr="00C2390B" w14:paraId="10B6E825"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1FBFA887" w14:textId="77777777" w:rsidR="00BB45DC" w:rsidRPr="00C2390B" w:rsidRDefault="00BB45DC">
            <w:pPr>
              <w:jc w:val="center"/>
              <w:rPr>
                <w:sz w:val="20"/>
                <w:szCs w:val="20"/>
              </w:rPr>
            </w:pPr>
            <w:r w:rsidRPr="00C2390B">
              <w:rPr>
                <w:sz w:val="20"/>
                <w:szCs w:val="20"/>
              </w:rPr>
              <w:t>10.</w:t>
            </w:r>
          </w:p>
        </w:tc>
        <w:tc>
          <w:tcPr>
            <w:tcW w:w="4212" w:type="dxa"/>
            <w:tcBorders>
              <w:top w:val="nil"/>
              <w:left w:val="nil"/>
              <w:bottom w:val="single" w:sz="4" w:space="0" w:color="auto"/>
              <w:right w:val="single" w:sz="4" w:space="0" w:color="auto"/>
            </w:tcBorders>
            <w:shd w:val="clear" w:color="auto" w:fill="auto"/>
            <w:vAlign w:val="center"/>
            <w:hideMark/>
          </w:tcPr>
          <w:p w14:paraId="16B105BB" w14:textId="77777777" w:rsidR="00BB45DC" w:rsidRPr="00C2390B" w:rsidRDefault="00BB45DC">
            <w:pPr>
              <w:rPr>
                <w:sz w:val="20"/>
                <w:szCs w:val="20"/>
              </w:rPr>
            </w:pPr>
            <w:r w:rsidRPr="00C2390B">
              <w:rPr>
                <w:sz w:val="20"/>
                <w:szCs w:val="20"/>
              </w:rPr>
              <w:t>F/P 01511-004-002 - Projekt "Istraživanje, obnova i revitalizacija kulturne baštine Ilok - Vukovar - Vučedol"</w:t>
            </w:r>
          </w:p>
        </w:tc>
        <w:tc>
          <w:tcPr>
            <w:tcW w:w="782" w:type="dxa"/>
            <w:tcBorders>
              <w:top w:val="nil"/>
              <w:left w:val="nil"/>
              <w:bottom w:val="single" w:sz="4" w:space="0" w:color="auto"/>
              <w:right w:val="single" w:sz="4" w:space="0" w:color="auto"/>
            </w:tcBorders>
            <w:shd w:val="clear" w:color="auto" w:fill="auto"/>
            <w:noWrap/>
            <w:vAlign w:val="center"/>
            <w:hideMark/>
          </w:tcPr>
          <w:p w14:paraId="2035A3BD"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44D7441B"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15C8D5D" w14:textId="77777777" w:rsidR="00BB45DC" w:rsidRPr="00C2390B" w:rsidRDefault="00BB45DC">
            <w:pPr>
              <w:jc w:val="right"/>
              <w:rPr>
                <w:sz w:val="20"/>
                <w:szCs w:val="20"/>
              </w:rPr>
            </w:pPr>
            <w:r w:rsidRPr="00C2390B">
              <w:rPr>
                <w:sz w:val="20"/>
                <w:szCs w:val="20"/>
              </w:rPr>
              <w:t>4.560.000,00</w:t>
            </w:r>
          </w:p>
        </w:tc>
        <w:tc>
          <w:tcPr>
            <w:tcW w:w="1660" w:type="dxa"/>
            <w:tcBorders>
              <w:top w:val="nil"/>
              <w:left w:val="nil"/>
              <w:bottom w:val="single" w:sz="4" w:space="0" w:color="auto"/>
              <w:right w:val="single" w:sz="4" w:space="0" w:color="auto"/>
            </w:tcBorders>
            <w:shd w:val="clear" w:color="auto" w:fill="auto"/>
            <w:noWrap/>
            <w:vAlign w:val="center"/>
            <w:hideMark/>
          </w:tcPr>
          <w:p w14:paraId="26A7DC30" w14:textId="77777777" w:rsidR="00BB45DC" w:rsidRPr="00C2390B" w:rsidRDefault="00BB45DC">
            <w:pPr>
              <w:jc w:val="right"/>
              <w:rPr>
                <w:sz w:val="20"/>
                <w:szCs w:val="20"/>
              </w:rPr>
            </w:pPr>
            <w:r w:rsidRPr="00C2390B">
              <w:rPr>
                <w:sz w:val="20"/>
                <w:szCs w:val="20"/>
              </w:rPr>
              <w:t>34.278.295,20</w:t>
            </w:r>
          </w:p>
        </w:tc>
      </w:tr>
      <w:tr w:rsidR="00BB45DC" w:rsidRPr="00C2390B" w14:paraId="7762ECC3"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3F48A96" w14:textId="77777777" w:rsidR="00BB45DC" w:rsidRPr="00C2390B" w:rsidRDefault="00BB45DC">
            <w:pPr>
              <w:jc w:val="center"/>
              <w:rPr>
                <w:sz w:val="20"/>
                <w:szCs w:val="20"/>
              </w:rPr>
            </w:pPr>
            <w:r w:rsidRPr="00C2390B">
              <w:rPr>
                <w:sz w:val="20"/>
                <w:szCs w:val="20"/>
              </w:rPr>
              <w:t>11.</w:t>
            </w:r>
          </w:p>
        </w:tc>
        <w:tc>
          <w:tcPr>
            <w:tcW w:w="4212" w:type="dxa"/>
            <w:tcBorders>
              <w:top w:val="nil"/>
              <w:left w:val="nil"/>
              <w:bottom w:val="single" w:sz="4" w:space="0" w:color="auto"/>
              <w:right w:val="single" w:sz="4" w:space="0" w:color="auto"/>
            </w:tcBorders>
            <w:shd w:val="clear" w:color="auto" w:fill="auto"/>
            <w:vAlign w:val="center"/>
            <w:hideMark/>
          </w:tcPr>
          <w:p w14:paraId="677590B4" w14:textId="77777777" w:rsidR="00BB45DC" w:rsidRPr="00C2390B" w:rsidRDefault="00BB45DC">
            <w:pPr>
              <w:rPr>
                <w:sz w:val="20"/>
                <w:szCs w:val="20"/>
              </w:rPr>
            </w:pPr>
            <w:r w:rsidRPr="00C2390B">
              <w:rPr>
                <w:sz w:val="20"/>
                <w:szCs w:val="20"/>
              </w:rPr>
              <w:t>F/P 01511-005-002 - Projekt "Istraživanje, obnova i revitalizacija kulturne baštine Ilok - Vukovar - Vučedol"</w:t>
            </w:r>
          </w:p>
        </w:tc>
        <w:tc>
          <w:tcPr>
            <w:tcW w:w="782" w:type="dxa"/>
            <w:tcBorders>
              <w:top w:val="nil"/>
              <w:left w:val="nil"/>
              <w:bottom w:val="single" w:sz="4" w:space="0" w:color="auto"/>
              <w:right w:val="single" w:sz="4" w:space="0" w:color="auto"/>
            </w:tcBorders>
            <w:shd w:val="clear" w:color="auto" w:fill="auto"/>
            <w:noWrap/>
            <w:vAlign w:val="center"/>
            <w:hideMark/>
          </w:tcPr>
          <w:p w14:paraId="243D3F08"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5CA7D020"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2CE83AA3" w14:textId="77777777" w:rsidR="00BB45DC" w:rsidRPr="00C2390B" w:rsidRDefault="00BB45DC">
            <w:pPr>
              <w:jc w:val="right"/>
              <w:rPr>
                <w:sz w:val="20"/>
                <w:szCs w:val="20"/>
              </w:rPr>
            </w:pPr>
            <w:r w:rsidRPr="00C2390B">
              <w:rPr>
                <w:sz w:val="20"/>
                <w:szCs w:val="20"/>
              </w:rPr>
              <w:t>1.635.200,70</w:t>
            </w:r>
          </w:p>
        </w:tc>
        <w:tc>
          <w:tcPr>
            <w:tcW w:w="1660" w:type="dxa"/>
            <w:tcBorders>
              <w:top w:val="nil"/>
              <w:left w:val="nil"/>
              <w:bottom w:val="single" w:sz="4" w:space="0" w:color="auto"/>
              <w:right w:val="single" w:sz="4" w:space="0" w:color="auto"/>
            </w:tcBorders>
            <w:shd w:val="clear" w:color="auto" w:fill="auto"/>
            <w:noWrap/>
            <w:vAlign w:val="center"/>
            <w:hideMark/>
          </w:tcPr>
          <w:p w14:paraId="641E3EFA" w14:textId="77777777" w:rsidR="00BB45DC" w:rsidRPr="00C2390B" w:rsidRDefault="00BB45DC">
            <w:pPr>
              <w:jc w:val="right"/>
              <w:rPr>
                <w:sz w:val="20"/>
                <w:szCs w:val="20"/>
              </w:rPr>
            </w:pPr>
            <w:r w:rsidRPr="00C2390B">
              <w:rPr>
                <w:sz w:val="20"/>
                <w:szCs w:val="20"/>
              </w:rPr>
              <w:t>12.292.081,65</w:t>
            </w:r>
          </w:p>
        </w:tc>
      </w:tr>
      <w:tr w:rsidR="00BB45DC" w:rsidRPr="00C2390B" w14:paraId="5246373B"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921DCEB" w14:textId="77777777" w:rsidR="00BB45DC" w:rsidRPr="00C2390B" w:rsidRDefault="00BB45DC">
            <w:pPr>
              <w:jc w:val="center"/>
              <w:rPr>
                <w:sz w:val="20"/>
                <w:szCs w:val="20"/>
              </w:rPr>
            </w:pPr>
            <w:r w:rsidRPr="00C2390B">
              <w:rPr>
                <w:sz w:val="20"/>
                <w:szCs w:val="20"/>
              </w:rPr>
              <w:t>12.</w:t>
            </w:r>
          </w:p>
        </w:tc>
        <w:tc>
          <w:tcPr>
            <w:tcW w:w="4212" w:type="dxa"/>
            <w:tcBorders>
              <w:top w:val="nil"/>
              <w:left w:val="nil"/>
              <w:bottom w:val="single" w:sz="4" w:space="0" w:color="auto"/>
              <w:right w:val="single" w:sz="4" w:space="0" w:color="auto"/>
            </w:tcBorders>
            <w:shd w:val="clear" w:color="auto" w:fill="auto"/>
            <w:vAlign w:val="center"/>
            <w:hideMark/>
          </w:tcPr>
          <w:p w14:paraId="1324E264" w14:textId="77777777" w:rsidR="00BB45DC" w:rsidRPr="00C2390B" w:rsidRDefault="00BB45DC">
            <w:pPr>
              <w:rPr>
                <w:sz w:val="20"/>
                <w:szCs w:val="20"/>
              </w:rPr>
            </w:pPr>
            <w:r w:rsidRPr="00C2390B">
              <w:rPr>
                <w:sz w:val="20"/>
                <w:szCs w:val="20"/>
              </w:rPr>
              <w:t>F/P 01576-002-002 - Projekt financiranja zdravstvenih ustanova u RH</w:t>
            </w:r>
          </w:p>
        </w:tc>
        <w:tc>
          <w:tcPr>
            <w:tcW w:w="782" w:type="dxa"/>
            <w:tcBorders>
              <w:top w:val="nil"/>
              <w:left w:val="nil"/>
              <w:bottom w:val="single" w:sz="4" w:space="0" w:color="auto"/>
              <w:right w:val="single" w:sz="4" w:space="0" w:color="auto"/>
            </w:tcBorders>
            <w:shd w:val="clear" w:color="auto" w:fill="auto"/>
            <w:noWrap/>
            <w:vAlign w:val="center"/>
            <w:hideMark/>
          </w:tcPr>
          <w:p w14:paraId="090DC097"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6FA2256A"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3A823511" w14:textId="77777777" w:rsidR="00BB45DC" w:rsidRPr="00C2390B" w:rsidRDefault="00BB45DC">
            <w:pPr>
              <w:jc w:val="right"/>
              <w:rPr>
                <w:sz w:val="20"/>
                <w:szCs w:val="20"/>
              </w:rPr>
            </w:pPr>
            <w:r w:rsidRPr="00C2390B">
              <w:rPr>
                <w:sz w:val="20"/>
                <w:szCs w:val="20"/>
              </w:rPr>
              <w:t>5.640.000,00</w:t>
            </w:r>
          </w:p>
        </w:tc>
        <w:tc>
          <w:tcPr>
            <w:tcW w:w="1660" w:type="dxa"/>
            <w:tcBorders>
              <w:top w:val="nil"/>
              <w:left w:val="nil"/>
              <w:bottom w:val="single" w:sz="4" w:space="0" w:color="auto"/>
              <w:right w:val="single" w:sz="4" w:space="0" w:color="auto"/>
            </w:tcBorders>
            <w:shd w:val="clear" w:color="auto" w:fill="auto"/>
            <w:noWrap/>
            <w:vAlign w:val="center"/>
            <w:hideMark/>
          </w:tcPr>
          <w:p w14:paraId="303A93D6" w14:textId="77777777" w:rsidR="00BB45DC" w:rsidRPr="00C2390B" w:rsidRDefault="00BB45DC">
            <w:pPr>
              <w:jc w:val="right"/>
              <w:rPr>
                <w:sz w:val="20"/>
                <w:szCs w:val="20"/>
              </w:rPr>
            </w:pPr>
            <w:r w:rsidRPr="00C2390B">
              <w:rPr>
                <w:sz w:val="20"/>
                <w:szCs w:val="20"/>
              </w:rPr>
              <w:t>42.396.838,80</w:t>
            </w:r>
          </w:p>
        </w:tc>
      </w:tr>
      <w:tr w:rsidR="00BB45DC" w:rsidRPr="00C2390B" w14:paraId="6F5761B1"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AC1BF01" w14:textId="77777777" w:rsidR="00BB45DC" w:rsidRPr="00C2390B" w:rsidRDefault="00BB45DC">
            <w:pPr>
              <w:jc w:val="center"/>
              <w:rPr>
                <w:sz w:val="20"/>
                <w:szCs w:val="20"/>
              </w:rPr>
            </w:pPr>
            <w:r w:rsidRPr="00C2390B">
              <w:rPr>
                <w:sz w:val="20"/>
                <w:szCs w:val="20"/>
              </w:rPr>
              <w:t>13.</w:t>
            </w:r>
          </w:p>
        </w:tc>
        <w:tc>
          <w:tcPr>
            <w:tcW w:w="4212" w:type="dxa"/>
            <w:tcBorders>
              <w:top w:val="nil"/>
              <w:left w:val="nil"/>
              <w:bottom w:val="single" w:sz="4" w:space="0" w:color="auto"/>
              <w:right w:val="single" w:sz="4" w:space="0" w:color="auto"/>
            </w:tcBorders>
            <w:shd w:val="clear" w:color="auto" w:fill="auto"/>
            <w:vAlign w:val="center"/>
            <w:hideMark/>
          </w:tcPr>
          <w:p w14:paraId="25C96AC6" w14:textId="77777777" w:rsidR="00BB45DC" w:rsidRPr="00C2390B" w:rsidRDefault="00BB45DC">
            <w:pPr>
              <w:rPr>
                <w:sz w:val="20"/>
                <w:szCs w:val="20"/>
              </w:rPr>
            </w:pPr>
            <w:r w:rsidRPr="00C2390B">
              <w:rPr>
                <w:sz w:val="20"/>
                <w:szCs w:val="20"/>
              </w:rPr>
              <w:t>F/P 01576-003-002 - Projekt financiranja zdravstvenih ustanova u RH</w:t>
            </w:r>
          </w:p>
        </w:tc>
        <w:tc>
          <w:tcPr>
            <w:tcW w:w="782" w:type="dxa"/>
            <w:tcBorders>
              <w:top w:val="nil"/>
              <w:left w:val="nil"/>
              <w:bottom w:val="single" w:sz="4" w:space="0" w:color="auto"/>
              <w:right w:val="single" w:sz="4" w:space="0" w:color="auto"/>
            </w:tcBorders>
            <w:shd w:val="clear" w:color="auto" w:fill="auto"/>
            <w:noWrap/>
            <w:vAlign w:val="center"/>
            <w:hideMark/>
          </w:tcPr>
          <w:p w14:paraId="3B11E680"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8C49BA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69947018" w14:textId="77777777" w:rsidR="00BB45DC" w:rsidRPr="00C2390B" w:rsidRDefault="00BB45DC">
            <w:pPr>
              <w:jc w:val="right"/>
              <w:rPr>
                <w:sz w:val="20"/>
                <w:szCs w:val="20"/>
              </w:rPr>
            </w:pPr>
            <w:r w:rsidRPr="00C2390B">
              <w:rPr>
                <w:sz w:val="20"/>
                <w:szCs w:val="20"/>
              </w:rPr>
              <w:t>9.826.465,60</w:t>
            </w:r>
          </w:p>
        </w:tc>
        <w:tc>
          <w:tcPr>
            <w:tcW w:w="1660" w:type="dxa"/>
            <w:tcBorders>
              <w:top w:val="nil"/>
              <w:left w:val="nil"/>
              <w:bottom w:val="single" w:sz="4" w:space="0" w:color="auto"/>
              <w:right w:val="single" w:sz="4" w:space="0" w:color="auto"/>
            </w:tcBorders>
            <w:shd w:val="clear" w:color="auto" w:fill="auto"/>
            <w:noWrap/>
            <w:vAlign w:val="center"/>
            <w:hideMark/>
          </w:tcPr>
          <w:p w14:paraId="7E9D306A" w14:textId="77777777" w:rsidR="00BB45DC" w:rsidRPr="00C2390B" w:rsidRDefault="00BB45DC">
            <w:pPr>
              <w:jc w:val="right"/>
              <w:rPr>
                <w:sz w:val="20"/>
                <w:szCs w:val="20"/>
              </w:rPr>
            </w:pPr>
            <w:r w:rsidRPr="00C2390B">
              <w:rPr>
                <w:sz w:val="20"/>
                <w:szCs w:val="20"/>
              </w:rPr>
              <w:t>73.867.212,41</w:t>
            </w:r>
          </w:p>
        </w:tc>
      </w:tr>
      <w:tr w:rsidR="00BB45DC" w:rsidRPr="00C2390B" w14:paraId="45A0A5E8"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64BC801" w14:textId="77777777" w:rsidR="00BB45DC" w:rsidRPr="00C2390B" w:rsidRDefault="00BB45DC">
            <w:pPr>
              <w:jc w:val="center"/>
              <w:rPr>
                <w:sz w:val="20"/>
                <w:szCs w:val="20"/>
              </w:rPr>
            </w:pPr>
            <w:r w:rsidRPr="00C2390B">
              <w:rPr>
                <w:sz w:val="20"/>
                <w:szCs w:val="20"/>
              </w:rPr>
              <w:t>14.</w:t>
            </w:r>
          </w:p>
        </w:tc>
        <w:tc>
          <w:tcPr>
            <w:tcW w:w="4212" w:type="dxa"/>
            <w:tcBorders>
              <w:top w:val="nil"/>
              <w:left w:val="nil"/>
              <w:bottom w:val="single" w:sz="4" w:space="0" w:color="auto"/>
              <w:right w:val="single" w:sz="4" w:space="0" w:color="auto"/>
            </w:tcBorders>
            <w:shd w:val="clear" w:color="auto" w:fill="auto"/>
            <w:vAlign w:val="center"/>
            <w:hideMark/>
          </w:tcPr>
          <w:p w14:paraId="244475DA" w14:textId="77777777" w:rsidR="00BB45DC" w:rsidRPr="00C2390B" w:rsidRDefault="00BB45DC">
            <w:pPr>
              <w:rPr>
                <w:sz w:val="20"/>
                <w:szCs w:val="20"/>
              </w:rPr>
            </w:pPr>
            <w:r w:rsidRPr="00C2390B">
              <w:rPr>
                <w:sz w:val="20"/>
                <w:szCs w:val="20"/>
              </w:rPr>
              <w:t>F/P 01751-001-001 - Projekt "Financiranje vodno-komunalne infrastrukture"</w:t>
            </w:r>
          </w:p>
        </w:tc>
        <w:tc>
          <w:tcPr>
            <w:tcW w:w="782" w:type="dxa"/>
            <w:tcBorders>
              <w:top w:val="nil"/>
              <w:left w:val="nil"/>
              <w:bottom w:val="single" w:sz="4" w:space="0" w:color="auto"/>
              <w:right w:val="single" w:sz="4" w:space="0" w:color="auto"/>
            </w:tcBorders>
            <w:shd w:val="clear" w:color="auto" w:fill="auto"/>
            <w:noWrap/>
            <w:vAlign w:val="center"/>
            <w:hideMark/>
          </w:tcPr>
          <w:p w14:paraId="7169FB77"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09E10B2E"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9769C6F" w14:textId="77777777" w:rsidR="00BB45DC" w:rsidRPr="00C2390B" w:rsidRDefault="00BB45DC">
            <w:pPr>
              <w:jc w:val="right"/>
              <w:rPr>
                <w:sz w:val="20"/>
                <w:szCs w:val="20"/>
              </w:rPr>
            </w:pPr>
            <w:r w:rsidRPr="00C2390B">
              <w:rPr>
                <w:sz w:val="20"/>
                <w:szCs w:val="20"/>
              </w:rPr>
              <w:t>8.400.000,00</w:t>
            </w:r>
          </w:p>
        </w:tc>
        <w:tc>
          <w:tcPr>
            <w:tcW w:w="1660" w:type="dxa"/>
            <w:tcBorders>
              <w:top w:val="nil"/>
              <w:left w:val="nil"/>
              <w:bottom w:val="single" w:sz="4" w:space="0" w:color="auto"/>
              <w:right w:val="single" w:sz="4" w:space="0" w:color="auto"/>
            </w:tcBorders>
            <w:shd w:val="clear" w:color="auto" w:fill="auto"/>
            <w:noWrap/>
            <w:vAlign w:val="center"/>
            <w:hideMark/>
          </w:tcPr>
          <w:p w14:paraId="765C150E" w14:textId="77777777" w:rsidR="00BB45DC" w:rsidRPr="00C2390B" w:rsidRDefault="00BB45DC">
            <w:pPr>
              <w:jc w:val="right"/>
              <w:rPr>
                <w:sz w:val="20"/>
                <w:szCs w:val="20"/>
              </w:rPr>
            </w:pPr>
            <w:r w:rsidRPr="00C2390B">
              <w:rPr>
                <w:sz w:val="20"/>
                <w:szCs w:val="20"/>
              </w:rPr>
              <w:t>63.144.228,00</w:t>
            </w:r>
          </w:p>
        </w:tc>
      </w:tr>
      <w:tr w:rsidR="00BB45DC" w:rsidRPr="00C2390B" w14:paraId="6655A0BF"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F099DCE" w14:textId="77777777" w:rsidR="00BB45DC" w:rsidRPr="00C2390B" w:rsidRDefault="00BB45DC">
            <w:pPr>
              <w:jc w:val="center"/>
              <w:rPr>
                <w:sz w:val="20"/>
                <w:szCs w:val="20"/>
              </w:rPr>
            </w:pPr>
            <w:r w:rsidRPr="00C2390B">
              <w:rPr>
                <w:sz w:val="20"/>
                <w:szCs w:val="20"/>
              </w:rPr>
              <w:t>15.</w:t>
            </w:r>
          </w:p>
        </w:tc>
        <w:tc>
          <w:tcPr>
            <w:tcW w:w="4212" w:type="dxa"/>
            <w:tcBorders>
              <w:top w:val="nil"/>
              <w:left w:val="nil"/>
              <w:bottom w:val="single" w:sz="4" w:space="0" w:color="auto"/>
              <w:right w:val="single" w:sz="4" w:space="0" w:color="auto"/>
            </w:tcBorders>
            <w:shd w:val="clear" w:color="auto" w:fill="auto"/>
            <w:vAlign w:val="center"/>
            <w:hideMark/>
          </w:tcPr>
          <w:p w14:paraId="6EF7D095" w14:textId="77777777" w:rsidR="00BB45DC" w:rsidRPr="00C2390B" w:rsidRDefault="00BB45DC">
            <w:pPr>
              <w:rPr>
                <w:sz w:val="20"/>
                <w:szCs w:val="20"/>
              </w:rPr>
            </w:pPr>
            <w:r w:rsidRPr="00C2390B">
              <w:rPr>
                <w:sz w:val="20"/>
                <w:szCs w:val="20"/>
              </w:rPr>
              <w:t>F/P 01751-002-001 - Projekt "Financiranje vodno-komunalne infrastrukture"</w:t>
            </w:r>
          </w:p>
        </w:tc>
        <w:tc>
          <w:tcPr>
            <w:tcW w:w="782" w:type="dxa"/>
            <w:tcBorders>
              <w:top w:val="nil"/>
              <w:left w:val="nil"/>
              <w:bottom w:val="single" w:sz="4" w:space="0" w:color="auto"/>
              <w:right w:val="single" w:sz="4" w:space="0" w:color="auto"/>
            </w:tcBorders>
            <w:shd w:val="clear" w:color="auto" w:fill="auto"/>
            <w:noWrap/>
            <w:vAlign w:val="center"/>
            <w:hideMark/>
          </w:tcPr>
          <w:p w14:paraId="3409E1C9"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7A27A705"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E3F6433" w14:textId="77777777" w:rsidR="00BB45DC" w:rsidRPr="00C2390B" w:rsidRDefault="00BB45DC">
            <w:pPr>
              <w:jc w:val="right"/>
              <w:rPr>
                <w:sz w:val="20"/>
                <w:szCs w:val="20"/>
              </w:rPr>
            </w:pPr>
            <w:r w:rsidRPr="00C2390B">
              <w:rPr>
                <w:sz w:val="20"/>
                <w:szCs w:val="20"/>
              </w:rPr>
              <w:t>2.089.285,75</w:t>
            </w:r>
          </w:p>
        </w:tc>
        <w:tc>
          <w:tcPr>
            <w:tcW w:w="1660" w:type="dxa"/>
            <w:tcBorders>
              <w:top w:val="nil"/>
              <w:left w:val="nil"/>
              <w:bottom w:val="single" w:sz="4" w:space="0" w:color="auto"/>
              <w:right w:val="single" w:sz="4" w:space="0" w:color="auto"/>
            </w:tcBorders>
            <w:shd w:val="clear" w:color="auto" w:fill="auto"/>
            <w:noWrap/>
            <w:vAlign w:val="center"/>
            <w:hideMark/>
          </w:tcPr>
          <w:p w14:paraId="40F3DC42" w14:textId="77777777" w:rsidR="00BB45DC" w:rsidRPr="00C2390B" w:rsidRDefault="00BB45DC">
            <w:pPr>
              <w:jc w:val="right"/>
              <w:rPr>
                <w:sz w:val="20"/>
                <w:szCs w:val="20"/>
              </w:rPr>
            </w:pPr>
            <w:r w:rsidRPr="00C2390B">
              <w:rPr>
                <w:sz w:val="20"/>
                <w:szCs w:val="20"/>
              </w:rPr>
              <w:t>15.705.516,16</w:t>
            </w:r>
          </w:p>
        </w:tc>
      </w:tr>
      <w:tr w:rsidR="00BB45DC" w:rsidRPr="00C2390B" w14:paraId="7202B2A2"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E04B83E" w14:textId="77777777" w:rsidR="00BB45DC" w:rsidRPr="00C2390B" w:rsidRDefault="00BB45DC">
            <w:pPr>
              <w:jc w:val="center"/>
              <w:rPr>
                <w:sz w:val="20"/>
                <w:szCs w:val="20"/>
              </w:rPr>
            </w:pPr>
            <w:r w:rsidRPr="00C2390B">
              <w:rPr>
                <w:sz w:val="20"/>
                <w:szCs w:val="20"/>
              </w:rPr>
              <w:t>16.</w:t>
            </w:r>
          </w:p>
        </w:tc>
        <w:tc>
          <w:tcPr>
            <w:tcW w:w="4212" w:type="dxa"/>
            <w:tcBorders>
              <w:top w:val="nil"/>
              <w:left w:val="nil"/>
              <w:bottom w:val="single" w:sz="4" w:space="0" w:color="auto"/>
              <w:right w:val="single" w:sz="4" w:space="0" w:color="auto"/>
            </w:tcBorders>
            <w:shd w:val="clear" w:color="auto" w:fill="auto"/>
            <w:vAlign w:val="center"/>
            <w:hideMark/>
          </w:tcPr>
          <w:p w14:paraId="161D2234" w14:textId="77777777" w:rsidR="00BB45DC" w:rsidRPr="00C2390B" w:rsidRDefault="00BB45DC">
            <w:pPr>
              <w:rPr>
                <w:sz w:val="20"/>
                <w:szCs w:val="20"/>
              </w:rPr>
            </w:pPr>
            <w:r w:rsidRPr="00C2390B">
              <w:rPr>
                <w:sz w:val="20"/>
                <w:szCs w:val="20"/>
              </w:rPr>
              <w:t>F/P 01751-003-000 - Projekt "Financiranje vodno-komunalne infrastrukture"</w:t>
            </w:r>
          </w:p>
        </w:tc>
        <w:tc>
          <w:tcPr>
            <w:tcW w:w="782" w:type="dxa"/>
            <w:tcBorders>
              <w:top w:val="nil"/>
              <w:left w:val="nil"/>
              <w:bottom w:val="single" w:sz="4" w:space="0" w:color="auto"/>
              <w:right w:val="single" w:sz="4" w:space="0" w:color="auto"/>
            </w:tcBorders>
            <w:shd w:val="clear" w:color="auto" w:fill="auto"/>
            <w:noWrap/>
            <w:vAlign w:val="center"/>
            <w:hideMark/>
          </w:tcPr>
          <w:p w14:paraId="76B5EC25"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C313DAE"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481807F7" w14:textId="77777777" w:rsidR="00BB45DC" w:rsidRPr="00C2390B" w:rsidRDefault="00BB45DC">
            <w:pPr>
              <w:jc w:val="right"/>
              <w:rPr>
                <w:sz w:val="20"/>
                <w:szCs w:val="20"/>
              </w:rPr>
            </w:pPr>
            <w:r w:rsidRPr="00C2390B">
              <w:rPr>
                <w:sz w:val="20"/>
                <w:szCs w:val="20"/>
              </w:rPr>
              <w:t>6.750.000,00</w:t>
            </w:r>
          </w:p>
        </w:tc>
        <w:tc>
          <w:tcPr>
            <w:tcW w:w="1660" w:type="dxa"/>
            <w:tcBorders>
              <w:top w:val="nil"/>
              <w:left w:val="nil"/>
              <w:bottom w:val="single" w:sz="4" w:space="0" w:color="auto"/>
              <w:right w:val="single" w:sz="4" w:space="0" w:color="auto"/>
            </w:tcBorders>
            <w:shd w:val="clear" w:color="auto" w:fill="auto"/>
            <w:noWrap/>
            <w:vAlign w:val="center"/>
            <w:hideMark/>
          </w:tcPr>
          <w:p w14:paraId="5CF65AB5" w14:textId="77777777" w:rsidR="00BB45DC" w:rsidRPr="00C2390B" w:rsidRDefault="00BB45DC">
            <w:pPr>
              <w:jc w:val="right"/>
              <w:rPr>
                <w:sz w:val="20"/>
                <w:szCs w:val="20"/>
              </w:rPr>
            </w:pPr>
            <w:r w:rsidRPr="00C2390B">
              <w:rPr>
                <w:sz w:val="20"/>
                <w:szCs w:val="20"/>
              </w:rPr>
              <w:t>50.740.897,50</w:t>
            </w:r>
          </w:p>
        </w:tc>
      </w:tr>
      <w:tr w:rsidR="00BB45DC" w:rsidRPr="00C2390B" w14:paraId="417E7F04"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C8BEBBB" w14:textId="77777777" w:rsidR="00BB45DC" w:rsidRPr="00C2390B" w:rsidRDefault="00BB45DC">
            <w:pPr>
              <w:jc w:val="center"/>
              <w:rPr>
                <w:sz w:val="20"/>
                <w:szCs w:val="20"/>
              </w:rPr>
            </w:pPr>
            <w:r w:rsidRPr="00C2390B">
              <w:rPr>
                <w:sz w:val="20"/>
                <w:szCs w:val="20"/>
              </w:rPr>
              <w:t>17.</w:t>
            </w:r>
          </w:p>
        </w:tc>
        <w:tc>
          <w:tcPr>
            <w:tcW w:w="4212" w:type="dxa"/>
            <w:tcBorders>
              <w:top w:val="nil"/>
              <w:left w:val="nil"/>
              <w:bottom w:val="single" w:sz="4" w:space="0" w:color="auto"/>
              <w:right w:val="single" w:sz="4" w:space="0" w:color="auto"/>
            </w:tcBorders>
            <w:shd w:val="clear" w:color="auto" w:fill="auto"/>
            <w:vAlign w:val="center"/>
            <w:hideMark/>
          </w:tcPr>
          <w:p w14:paraId="4EDF60F0" w14:textId="77777777" w:rsidR="00BB45DC" w:rsidRPr="00C2390B" w:rsidRDefault="00BB45DC">
            <w:pPr>
              <w:rPr>
                <w:sz w:val="20"/>
                <w:szCs w:val="20"/>
              </w:rPr>
            </w:pPr>
            <w:r w:rsidRPr="00C2390B">
              <w:rPr>
                <w:sz w:val="20"/>
                <w:szCs w:val="20"/>
              </w:rPr>
              <w:t>F/P 01751-004-000 - Projekt "Financiranje vodno-komunalne infrastrukture"</w:t>
            </w:r>
          </w:p>
        </w:tc>
        <w:tc>
          <w:tcPr>
            <w:tcW w:w="782" w:type="dxa"/>
            <w:tcBorders>
              <w:top w:val="nil"/>
              <w:left w:val="nil"/>
              <w:bottom w:val="single" w:sz="4" w:space="0" w:color="auto"/>
              <w:right w:val="single" w:sz="4" w:space="0" w:color="auto"/>
            </w:tcBorders>
            <w:shd w:val="clear" w:color="auto" w:fill="auto"/>
            <w:noWrap/>
            <w:vAlign w:val="center"/>
            <w:hideMark/>
          </w:tcPr>
          <w:p w14:paraId="6A96C8B4"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59E825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CFB6BD2" w14:textId="77777777" w:rsidR="00BB45DC" w:rsidRPr="00C2390B" w:rsidRDefault="00BB45DC">
            <w:pPr>
              <w:jc w:val="right"/>
              <w:rPr>
                <w:sz w:val="20"/>
                <w:szCs w:val="20"/>
              </w:rPr>
            </w:pPr>
            <w:r w:rsidRPr="00C2390B">
              <w:rPr>
                <w:sz w:val="20"/>
                <w:szCs w:val="20"/>
              </w:rPr>
              <w:t>7.500.000,00</w:t>
            </w:r>
          </w:p>
        </w:tc>
        <w:tc>
          <w:tcPr>
            <w:tcW w:w="1660" w:type="dxa"/>
            <w:tcBorders>
              <w:top w:val="nil"/>
              <w:left w:val="nil"/>
              <w:bottom w:val="single" w:sz="4" w:space="0" w:color="auto"/>
              <w:right w:val="single" w:sz="4" w:space="0" w:color="auto"/>
            </w:tcBorders>
            <w:shd w:val="clear" w:color="auto" w:fill="auto"/>
            <w:noWrap/>
            <w:vAlign w:val="center"/>
            <w:hideMark/>
          </w:tcPr>
          <w:p w14:paraId="746428CF" w14:textId="77777777" w:rsidR="00BB45DC" w:rsidRPr="00C2390B" w:rsidRDefault="00BB45DC">
            <w:pPr>
              <w:jc w:val="right"/>
              <w:rPr>
                <w:sz w:val="20"/>
                <w:szCs w:val="20"/>
              </w:rPr>
            </w:pPr>
            <w:r w:rsidRPr="00C2390B">
              <w:rPr>
                <w:sz w:val="20"/>
                <w:szCs w:val="20"/>
              </w:rPr>
              <w:t>56.378.775,00</w:t>
            </w:r>
          </w:p>
        </w:tc>
      </w:tr>
      <w:tr w:rsidR="00BB45DC" w:rsidRPr="00C2390B" w14:paraId="2C13EF0E"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CDB92FF" w14:textId="77777777" w:rsidR="00BB45DC" w:rsidRPr="00C2390B" w:rsidRDefault="00BB45DC">
            <w:pPr>
              <w:jc w:val="center"/>
              <w:rPr>
                <w:sz w:val="20"/>
                <w:szCs w:val="20"/>
              </w:rPr>
            </w:pPr>
            <w:r w:rsidRPr="00C2390B">
              <w:rPr>
                <w:sz w:val="20"/>
                <w:szCs w:val="20"/>
              </w:rPr>
              <w:t>18.</w:t>
            </w:r>
          </w:p>
        </w:tc>
        <w:tc>
          <w:tcPr>
            <w:tcW w:w="4212" w:type="dxa"/>
            <w:tcBorders>
              <w:top w:val="nil"/>
              <w:left w:val="nil"/>
              <w:bottom w:val="single" w:sz="4" w:space="0" w:color="auto"/>
              <w:right w:val="single" w:sz="4" w:space="0" w:color="auto"/>
            </w:tcBorders>
            <w:shd w:val="clear" w:color="auto" w:fill="auto"/>
            <w:vAlign w:val="center"/>
            <w:hideMark/>
          </w:tcPr>
          <w:p w14:paraId="7EA3129B" w14:textId="77777777" w:rsidR="00BB45DC" w:rsidRPr="00C2390B" w:rsidRDefault="00BB45DC">
            <w:pPr>
              <w:rPr>
                <w:sz w:val="20"/>
                <w:szCs w:val="20"/>
              </w:rPr>
            </w:pPr>
            <w:r w:rsidRPr="00C2390B">
              <w:rPr>
                <w:sz w:val="20"/>
                <w:szCs w:val="20"/>
              </w:rPr>
              <w:t>LD 01845-001-000 - Projekt zaštite od poplava</w:t>
            </w:r>
          </w:p>
        </w:tc>
        <w:tc>
          <w:tcPr>
            <w:tcW w:w="782" w:type="dxa"/>
            <w:tcBorders>
              <w:top w:val="nil"/>
              <w:left w:val="nil"/>
              <w:bottom w:val="single" w:sz="4" w:space="0" w:color="auto"/>
              <w:right w:val="single" w:sz="4" w:space="0" w:color="auto"/>
            </w:tcBorders>
            <w:shd w:val="clear" w:color="auto" w:fill="auto"/>
            <w:noWrap/>
            <w:vAlign w:val="center"/>
            <w:hideMark/>
          </w:tcPr>
          <w:p w14:paraId="510DB992"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1694FA3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6C500A90" w14:textId="77777777" w:rsidR="00BB45DC" w:rsidRPr="00C2390B" w:rsidRDefault="00BB45DC">
            <w:pPr>
              <w:jc w:val="right"/>
              <w:rPr>
                <w:sz w:val="20"/>
                <w:szCs w:val="20"/>
              </w:rPr>
            </w:pPr>
            <w:r w:rsidRPr="00C2390B">
              <w:rPr>
                <w:sz w:val="20"/>
                <w:szCs w:val="20"/>
              </w:rPr>
              <w:t>2.985.000,00</w:t>
            </w:r>
          </w:p>
        </w:tc>
        <w:tc>
          <w:tcPr>
            <w:tcW w:w="1660" w:type="dxa"/>
            <w:tcBorders>
              <w:top w:val="nil"/>
              <w:left w:val="nil"/>
              <w:bottom w:val="single" w:sz="4" w:space="0" w:color="auto"/>
              <w:right w:val="single" w:sz="4" w:space="0" w:color="auto"/>
            </w:tcBorders>
            <w:shd w:val="clear" w:color="auto" w:fill="auto"/>
            <w:noWrap/>
            <w:vAlign w:val="center"/>
            <w:hideMark/>
          </w:tcPr>
          <w:p w14:paraId="55B21672" w14:textId="77777777" w:rsidR="00BB45DC" w:rsidRPr="00C2390B" w:rsidRDefault="00BB45DC">
            <w:pPr>
              <w:jc w:val="right"/>
              <w:rPr>
                <w:sz w:val="20"/>
                <w:szCs w:val="20"/>
              </w:rPr>
            </w:pPr>
            <w:r w:rsidRPr="00C2390B">
              <w:rPr>
                <w:sz w:val="20"/>
                <w:szCs w:val="20"/>
              </w:rPr>
              <w:t>22.438.752,45</w:t>
            </w:r>
          </w:p>
        </w:tc>
      </w:tr>
      <w:tr w:rsidR="00BB45DC" w:rsidRPr="00C2390B" w14:paraId="30C1E8E5"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13C6A52F" w14:textId="77777777" w:rsidR="00BB45DC" w:rsidRPr="00C2390B" w:rsidRDefault="00BB45DC">
            <w:pPr>
              <w:jc w:val="center"/>
              <w:rPr>
                <w:sz w:val="20"/>
                <w:szCs w:val="20"/>
              </w:rPr>
            </w:pPr>
            <w:r w:rsidRPr="00C2390B">
              <w:rPr>
                <w:sz w:val="20"/>
                <w:szCs w:val="20"/>
              </w:rPr>
              <w:t>19.</w:t>
            </w:r>
          </w:p>
        </w:tc>
        <w:tc>
          <w:tcPr>
            <w:tcW w:w="4212" w:type="dxa"/>
            <w:tcBorders>
              <w:top w:val="nil"/>
              <w:left w:val="nil"/>
              <w:bottom w:val="single" w:sz="4" w:space="0" w:color="auto"/>
              <w:right w:val="single" w:sz="4" w:space="0" w:color="auto"/>
            </w:tcBorders>
            <w:shd w:val="clear" w:color="auto" w:fill="auto"/>
            <w:vAlign w:val="center"/>
            <w:hideMark/>
          </w:tcPr>
          <w:p w14:paraId="46BBBF49" w14:textId="77777777" w:rsidR="00BB45DC" w:rsidRPr="00C2390B" w:rsidRDefault="00BB45DC">
            <w:pPr>
              <w:rPr>
                <w:sz w:val="20"/>
                <w:szCs w:val="20"/>
              </w:rPr>
            </w:pPr>
            <w:r w:rsidRPr="00C2390B">
              <w:rPr>
                <w:sz w:val="20"/>
                <w:szCs w:val="20"/>
              </w:rPr>
              <w:t>LD 01845-002-000 - Projekt zaštite od poplava</w:t>
            </w:r>
          </w:p>
        </w:tc>
        <w:tc>
          <w:tcPr>
            <w:tcW w:w="782" w:type="dxa"/>
            <w:tcBorders>
              <w:top w:val="nil"/>
              <w:left w:val="nil"/>
              <w:bottom w:val="single" w:sz="4" w:space="0" w:color="auto"/>
              <w:right w:val="single" w:sz="4" w:space="0" w:color="auto"/>
            </w:tcBorders>
            <w:shd w:val="clear" w:color="auto" w:fill="auto"/>
            <w:noWrap/>
            <w:vAlign w:val="center"/>
            <w:hideMark/>
          </w:tcPr>
          <w:p w14:paraId="2BA62ABD"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20C2589F"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ACE9BEF" w14:textId="77777777" w:rsidR="00BB45DC" w:rsidRPr="00C2390B" w:rsidRDefault="00BB45DC">
            <w:pPr>
              <w:jc w:val="right"/>
              <w:rPr>
                <w:sz w:val="20"/>
                <w:szCs w:val="20"/>
              </w:rPr>
            </w:pPr>
            <w:r w:rsidRPr="00C2390B">
              <w:rPr>
                <w:sz w:val="20"/>
                <w:szCs w:val="20"/>
              </w:rPr>
              <w:t>6.692.255,55</w:t>
            </w:r>
          </w:p>
        </w:tc>
        <w:tc>
          <w:tcPr>
            <w:tcW w:w="1660" w:type="dxa"/>
            <w:tcBorders>
              <w:top w:val="nil"/>
              <w:left w:val="nil"/>
              <w:bottom w:val="single" w:sz="4" w:space="0" w:color="auto"/>
              <w:right w:val="single" w:sz="4" w:space="0" w:color="auto"/>
            </w:tcBorders>
            <w:shd w:val="clear" w:color="auto" w:fill="auto"/>
            <w:noWrap/>
            <w:vAlign w:val="center"/>
            <w:hideMark/>
          </w:tcPr>
          <w:p w14:paraId="4341074D" w14:textId="77777777" w:rsidR="00BB45DC" w:rsidRPr="00C2390B" w:rsidRDefault="00BB45DC">
            <w:pPr>
              <w:jc w:val="right"/>
              <w:rPr>
                <w:sz w:val="20"/>
                <w:szCs w:val="20"/>
              </w:rPr>
            </w:pPr>
            <w:r w:rsidRPr="00C2390B">
              <w:rPr>
                <w:sz w:val="20"/>
                <w:szCs w:val="20"/>
              </w:rPr>
              <w:t>50.306.822,65</w:t>
            </w:r>
          </w:p>
        </w:tc>
      </w:tr>
      <w:tr w:rsidR="00BB45DC" w:rsidRPr="00C2390B" w14:paraId="28C9E0D1"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1A105D74" w14:textId="77777777" w:rsidR="00BB45DC" w:rsidRPr="00C2390B" w:rsidRDefault="00BB45DC">
            <w:pPr>
              <w:jc w:val="center"/>
              <w:rPr>
                <w:sz w:val="20"/>
                <w:szCs w:val="20"/>
              </w:rPr>
            </w:pPr>
            <w:r w:rsidRPr="00C2390B">
              <w:rPr>
                <w:sz w:val="20"/>
                <w:szCs w:val="20"/>
              </w:rPr>
              <w:t>20.</w:t>
            </w:r>
          </w:p>
        </w:tc>
        <w:tc>
          <w:tcPr>
            <w:tcW w:w="4212" w:type="dxa"/>
            <w:tcBorders>
              <w:top w:val="nil"/>
              <w:left w:val="nil"/>
              <w:bottom w:val="single" w:sz="4" w:space="0" w:color="auto"/>
              <w:right w:val="single" w:sz="4" w:space="0" w:color="auto"/>
            </w:tcBorders>
            <w:shd w:val="clear" w:color="auto" w:fill="auto"/>
            <w:vAlign w:val="center"/>
            <w:hideMark/>
          </w:tcPr>
          <w:p w14:paraId="00DDF0D4" w14:textId="77777777" w:rsidR="00BB45DC" w:rsidRPr="00C2390B" w:rsidRDefault="00BB45DC">
            <w:pPr>
              <w:rPr>
                <w:sz w:val="20"/>
                <w:szCs w:val="20"/>
              </w:rPr>
            </w:pPr>
            <w:r w:rsidRPr="00C2390B">
              <w:rPr>
                <w:sz w:val="20"/>
                <w:szCs w:val="20"/>
              </w:rPr>
              <w:t>LD 01845-003-000 - Projekt zaštite od poplava</w:t>
            </w:r>
          </w:p>
        </w:tc>
        <w:tc>
          <w:tcPr>
            <w:tcW w:w="782" w:type="dxa"/>
            <w:tcBorders>
              <w:top w:val="nil"/>
              <w:left w:val="nil"/>
              <w:bottom w:val="single" w:sz="4" w:space="0" w:color="auto"/>
              <w:right w:val="single" w:sz="4" w:space="0" w:color="auto"/>
            </w:tcBorders>
            <w:shd w:val="clear" w:color="auto" w:fill="auto"/>
            <w:noWrap/>
            <w:vAlign w:val="center"/>
            <w:hideMark/>
          </w:tcPr>
          <w:p w14:paraId="5D6CA5A5"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2C1B805D"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3618316C" w14:textId="77777777" w:rsidR="00BB45DC" w:rsidRPr="00C2390B" w:rsidRDefault="00BB45DC">
            <w:pPr>
              <w:jc w:val="right"/>
              <w:rPr>
                <w:sz w:val="20"/>
                <w:szCs w:val="20"/>
              </w:rPr>
            </w:pPr>
            <w:r w:rsidRPr="00C2390B">
              <w:rPr>
                <w:sz w:val="20"/>
                <w:szCs w:val="20"/>
              </w:rPr>
              <w:t>4.400.000,00</w:t>
            </w:r>
          </w:p>
        </w:tc>
        <w:tc>
          <w:tcPr>
            <w:tcW w:w="1660" w:type="dxa"/>
            <w:tcBorders>
              <w:top w:val="nil"/>
              <w:left w:val="nil"/>
              <w:bottom w:val="single" w:sz="4" w:space="0" w:color="auto"/>
              <w:right w:val="single" w:sz="4" w:space="0" w:color="auto"/>
            </w:tcBorders>
            <w:shd w:val="clear" w:color="auto" w:fill="auto"/>
            <w:noWrap/>
            <w:vAlign w:val="center"/>
            <w:hideMark/>
          </w:tcPr>
          <w:p w14:paraId="592CDA91" w14:textId="77777777" w:rsidR="00BB45DC" w:rsidRPr="00C2390B" w:rsidRDefault="00BB45DC">
            <w:pPr>
              <w:jc w:val="right"/>
              <w:rPr>
                <w:sz w:val="20"/>
                <w:szCs w:val="20"/>
              </w:rPr>
            </w:pPr>
            <w:r w:rsidRPr="00C2390B">
              <w:rPr>
                <w:sz w:val="20"/>
                <w:szCs w:val="20"/>
              </w:rPr>
              <w:t>33.075.548,00</w:t>
            </w:r>
          </w:p>
        </w:tc>
      </w:tr>
      <w:tr w:rsidR="00BB45DC" w:rsidRPr="00C2390B" w14:paraId="473E4A3E"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3C27A3B" w14:textId="77777777" w:rsidR="00BB45DC" w:rsidRPr="00C2390B" w:rsidRDefault="00BB45DC">
            <w:pPr>
              <w:jc w:val="center"/>
              <w:rPr>
                <w:sz w:val="20"/>
                <w:szCs w:val="20"/>
              </w:rPr>
            </w:pPr>
            <w:r w:rsidRPr="00C2390B">
              <w:rPr>
                <w:sz w:val="20"/>
                <w:szCs w:val="20"/>
              </w:rPr>
              <w:t>21.</w:t>
            </w:r>
          </w:p>
        </w:tc>
        <w:tc>
          <w:tcPr>
            <w:tcW w:w="4212" w:type="dxa"/>
            <w:tcBorders>
              <w:top w:val="nil"/>
              <w:left w:val="nil"/>
              <w:bottom w:val="single" w:sz="4" w:space="0" w:color="auto"/>
              <w:right w:val="single" w:sz="4" w:space="0" w:color="auto"/>
            </w:tcBorders>
            <w:shd w:val="clear" w:color="auto" w:fill="auto"/>
            <w:vAlign w:val="center"/>
            <w:hideMark/>
          </w:tcPr>
          <w:p w14:paraId="36D80E23" w14:textId="77777777" w:rsidR="00BB45DC" w:rsidRPr="00C2390B" w:rsidRDefault="00BB45DC">
            <w:pPr>
              <w:rPr>
                <w:sz w:val="20"/>
                <w:szCs w:val="20"/>
              </w:rPr>
            </w:pPr>
            <w:r w:rsidRPr="00C2390B">
              <w:rPr>
                <w:sz w:val="20"/>
                <w:szCs w:val="20"/>
              </w:rPr>
              <w:t>LD 01845-004-000 - Projekt zaštite od poplava</w:t>
            </w:r>
          </w:p>
        </w:tc>
        <w:tc>
          <w:tcPr>
            <w:tcW w:w="782" w:type="dxa"/>
            <w:tcBorders>
              <w:top w:val="nil"/>
              <w:left w:val="nil"/>
              <w:bottom w:val="single" w:sz="4" w:space="0" w:color="auto"/>
              <w:right w:val="single" w:sz="4" w:space="0" w:color="auto"/>
            </w:tcBorders>
            <w:shd w:val="clear" w:color="auto" w:fill="auto"/>
            <w:noWrap/>
            <w:vAlign w:val="center"/>
            <w:hideMark/>
          </w:tcPr>
          <w:p w14:paraId="19A3335A"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24F5C6FC"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03DF695F" w14:textId="77777777" w:rsidR="00BB45DC" w:rsidRPr="00C2390B" w:rsidRDefault="00BB45DC">
            <w:pPr>
              <w:jc w:val="right"/>
              <w:rPr>
                <w:sz w:val="20"/>
                <w:szCs w:val="20"/>
              </w:rPr>
            </w:pPr>
            <w:r w:rsidRPr="00C2390B">
              <w:rPr>
                <w:sz w:val="20"/>
                <w:szCs w:val="20"/>
              </w:rPr>
              <w:t>8.208.333,34</w:t>
            </w:r>
          </w:p>
        </w:tc>
        <w:tc>
          <w:tcPr>
            <w:tcW w:w="1660" w:type="dxa"/>
            <w:tcBorders>
              <w:top w:val="nil"/>
              <w:left w:val="nil"/>
              <w:bottom w:val="single" w:sz="4" w:space="0" w:color="auto"/>
              <w:right w:val="single" w:sz="4" w:space="0" w:color="auto"/>
            </w:tcBorders>
            <w:shd w:val="clear" w:color="auto" w:fill="auto"/>
            <w:noWrap/>
            <w:vAlign w:val="center"/>
            <w:hideMark/>
          </w:tcPr>
          <w:p w14:paraId="2CDA215A" w14:textId="77777777" w:rsidR="00BB45DC" w:rsidRPr="00C2390B" w:rsidRDefault="00BB45DC">
            <w:pPr>
              <w:jc w:val="right"/>
              <w:rPr>
                <w:sz w:val="20"/>
                <w:szCs w:val="20"/>
              </w:rPr>
            </w:pPr>
            <w:r w:rsidRPr="00C2390B">
              <w:rPr>
                <w:sz w:val="20"/>
                <w:szCs w:val="20"/>
              </w:rPr>
              <w:t>61.703.437,13</w:t>
            </w:r>
          </w:p>
        </w:tc>
      </w:tr>
      <w:tr w:rsidR="00BB45DC" w:rsidRPr="00C2390B" w14:paraId="47BC8C2E"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BB3107A" w14:textId="77777777" w:rsidR="00BB45DC" w:rsidRPr="00C2390B" w:rsidRDefault="00BB45DC">
            <w:pPr>
              <w:jc w:val="center"/>
              <w:rPr>
                <w:sz w:val="20"/>
                <w:szCs w:val="20"/>
              </w:rPr>
            </w:pPr>
            <w:r w:rsidRPr="00C2390B">
              <w:rPr>
                <w:sz w:val="20"/>
                <w:szCs w:val="20"/>
              </w:rPr>
              <w:t>22.</w:t>
            </w:r>
          </w:p>
        </w:tc>
        <w:tc>
          <w:tcPr>
            <w:tcW w:w="4212" w:type="dxa"/>
            <w:tcBorders>
              <w:top w:val="nil"/>
              <w:left w:val="nil"/>
              <w:bottom w:val="single" w:sz="4" w:space="0" w:color="auto"/>
              <w:right w:val="single" w:sz="4" w:space="0" w:color="auto"/>
            </w:tcBorders>
            <w:shd w:val="clear" w:color="auto" w:fill="auto"/>
            <w:vAlign w:val="center"/>
            <w:hideMark/>
          </w:tcPr>
          <w:p w14:paraId="5F8BFDFF" w14:textId="77777777" w:rsidR="00BB45DC" w:rsidRPr="00C2390B" w:rsidRDefault="00BB45DC">
            <w:pPr>
              <w:rPr>
                <w:sz w:val="20"/>
                <w:szCs w:val="20"/>
              </w:rPr>
            </w:pPr>
            <w:r w:rsidRPr="00C2390B">
              <w:rPr>
                <w:sz w:val="20"/>
                <w:szCs w:val="20"/>
              </w:rPr>
              <w:t>LD 01845-005-000 - Projekt zaštite od poplava</w:t>
            </w:r>
          </w:p>
        </w:tc>
        <w:tc>
          <w:tcPr>
            <w:tcW w:w="782" w:type="dxa"/>
            <w:tcBorders>
              <w:top w:val="nil"/>
              <w:left w:val="nil"/>
              <w:bottom w:val="single" w:sz="4" w:space="0" w:color="auto"/>
              <w:right w:val="single" w:sz="4" w:space="0" w:color="auto"/>
            </w:tcBorders>
            <w:shd w:val="clear" w:color="auto" w:fill="auto"/>
            <w:noWrap/>
            <w:vAlign w:val="center"/>
            <w:hideMark/>
          </w:tcPr>
          <w:p w14:paraId="189C0C23"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58A4ECA"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5FD7E71" w14:textId="77777777" w:rsidR="00BB45DC" w:rsidRPr="00C2390B" w:rsidRDefault="00BB45DC">
            <w:pPr>
              <w:jc w:val="right"/>
              <w:rPr>
                <w:sz w:val="20"/>
                <w:szCs w:val="20"/>
              </w:rPr>
            </w:pPr>
            <w:r w:rsidRPr="00C2390B">
              <w:rPr>
                <w:sz w:val="20"/>
                <w:szCs w:val="20"/>
              </w:rPr>
              <w:t>8.796.366,67</w:t>
            </w:r>
          </w:p>
        </w:tc>
        <w:tc>
          <w:tcPr>
            <w:tcW w:w="1660" w:type="dxa"/>
            <w:tcBorders>
              <w:top w:val="nil"/>
              <w:left w:val="nil"/>
              <w:bottom w:val="single" w:sz="4" w:space="0" w:color="auto"/>
              <w:right w:val="single" w:sz="4" w:space="0" w:color="auto"/>
            </w:tcBorders>
            <w:shd w:val="clear" w:color="auto" w:fill="auto"/>
            <w:noWrap/>
            <w:vAlign w:val="center"/>
            <w:hideMark/>
          </w:tcPr>
          <w:p w14:paraId="38E86D79" w14:textId="77777777" w:rsidR="00BB45DC" w:rsidRPr="00C2390B" w:rsidRDefault="00BB45DC">
            <w:pPr>
              <w:jc w:val="right"/>
              <w:rPr>
                <w:sz w:val="20"/>
                <w:szCs w:val="20"/>
              </w:rPr>
            </w:pPr>
            <w:r w:rsidRPr="00C2390B">
              <w:rPr>
                <w:sz w:val="20"/>
                <w:szCs w:val="20"/>
              </w:rPr>
              <w:t>66.123.783,64</w:t>
            </w:r>
          </w:p>
        </w:tc>
      </w:tr>
      <w:tr w:rsidR="00BB45DC" w:rsidRPr="00C2390B" w14:paraId="4848A7FC"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75A96A8" w14:textId="77777777" w:rsidR="00BB45DC" w:rsidRPr="00C2390B" w:rsidRDefault="00BB45DC">
            <w:pPr>
              <w:jc w:val="center"/>
              <w:rPr>
                <w:sz w:val="20"/>
                <w:szCs w:val="20"/>
              </w:rPr>
            </w:pPr>
            <w:r w:rsidRPr="00C2390B">
              <w:rPr>
                <w:sz w:val="20"/>
                <w:szCs w:val="20"/>
              </w:rPr>
              <w:t>23.</w:t>
            </w:r>
          </w:p>
        </w:tc>
        <w:tc>
          <w:tcPr>
            <w:tcW w:w="4212" w:type="dxa"/>
            <w:tcBorders>
              <w:top w:val="nil"/>
              <w:left w:val="nil"/>
              <w:bottom w:val="single" w:sz="4" w:space="0" w:color="auto"/>
              <w:right w:val="single" w:sz="4" w:space="0" w:color="auto"/>
            </w:tcBorders>
            <w:shd w:val="clear" w:color="auto" w:fill="auto"/>
            <w:vAlign w:val="center"/>
            <w:hideMark/>
          </w:tcPr>
          <w:p w14:paraId="59526B9E" w14:textId="77777777" w:rsidR="00BB45DC" w:rsidRPr="00C2390B" w:rsidRDefault="00BB45DC">
            <w:pPr>
              <w:rPr>
                <w:sz w:val="20"/>
                <w:szCs w:val="20"/>
              </w:rPr>
            </w:pPr>
            <w:r w:rsidRPr="00C2390B">
              <w:rPr>
                <w:sz w:val="20"/>
                <w:szCs w:val="20"/>
              </w:rPr>
              <w:t xml:space="preserve">LD 2056-001-000 - Podrška mjerama u Republici Hrvatskoj, povezanih s </w:t>
            </w:r>
            <w:proofErr w:type="spellStart"/>
            <w:r w:rsidRPr="00C2390B">
              <w:rPr>
                <w:sz w:val="20"/>
                <w:szCs w:val="20"/>
              </w:rPr>
              <w:t>pandemijom</w:t>
            </w:r>
            <w:proofErr w:type="spellEnd"/>
            <w:r w:rsidRPr="00C2390B">
              <w:rPr>
                <w:sz w:val="20"/>
                <w:szCs w:val="20"/>
              </w:rPr>
              <w:t xml:space="preserve"> bolesti COVID-19 – instrument financiranja javnog sektora</w:t>
            </w:r>
          </w:p>
        </w:tc>
        <w:tc>
          <w:tcPr>
            <w:tcW w:w="782" w:type="dxa"/>
            <w:tcBorders>
              <w:top w:val="nil"/>
              <w:left w:val="nil"/>
              <w:bottom w:val="single" w:sz="4" w:space="0" w:color="auto"/>
              <w:right w:val="single" w:sz="4" w:space="0" w:color="auto"/>
            </w:tcBorders>
            <w:shd w:val="clear" w:color="auto" w:fill="auto"/>
            <w:noWrap/>
            <w:vAlign w:val="center"/>
            <w:hideMark/>
          </w:tcPr>
          <w:p w14:paraId="49F77C44" w14:textId="77777777" w:rsidR="00BB45DC" w:rsidRPr="00C2390B" w:rsidRDefault="00BB45DC">
            <w:pPr>
              <w:jc w:val="center"/>
              <w:rPr>
                <w:sz w:val="20"/>
                <w:szCs w:val="20"/>
              </w:rPr>
            </w:pPr>
            <w:r w:rsidRPr="00C2390B">
              <w:rPr>
                <w:sz w:val="20"/>
                <w:szCs w:val="20"/>
              </w:rPr>
              <w:t>CEB</w:t>
            </w:r>
          </w:p>
        </w:tc>
        <w:tc>
          <w:tcPr>
            <w:tcW w:w="747" w:type="dxa"/>
            <w:tcBorders>
              <w:top w:val="nil"/>
              <w:left w:val="nil"/>
              <w:bottom w:val="single" w:sz="4" w:space="0" w:color="auto"/>
              <w:right w:val="single" w:sz="4" w:space="0" w:color="auto"/>
            </w:tcBorders>
            <w:shd w:val="clear" w:color="auto" w:fill="auto"/>
            <w:noWrap/>
            <w:vAlign w:val="center"/>
            <w:hideMark/>
          </w:tcPr>
          <w:p w14:paraId="36671DD0"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2CEF77A0" w14:textId="77777777" w:rsidR="00BB45DC" w:rsidRPr="00C2390B" w:rsidRDefault="00BB45DC">
            <w:pPr>
              <w:jc w:val="right"/>
              <w:rPr>
                <w:sz w:val="20"/>
                <w:szCs w:val="20"/>
              </w:rPr>
            </w:pPr>
            <w:r w:rsidRPr="00C2390B">
              <w:rPr>
                <w:sz w:val="20"/>
                <w:szCs w:val="20"/>
              </w:rPr>
              <w:t>150.000.000,00</w:t>
            </w:r>
          </w:p>
        </w:tc>
        <w:tc>
          <w:tcPr>
            <w:tcW w:w="1660" w:type="dxa"/>
            <w:tcBorders>
              <w:top w:val="nil"/>
              <w:left w:val="nil"/>
              <w:bottom w:val="single" w:sz="4" w:space="0" w:color="auto"/>
              <w:right w:val="single" w:sz="4" w:space="0" w:color="auto"/>
            </w:tcBorders>
            <w:shd w:val="clear" w:color="auto" w:fill="auto"/>
            <w:noWrap/>
            <w:vAlign w:val="center"/>
            <w:hideMark/>
          </w:tcPr>
          <w:p w14:paraId="79CCFE67" w14:textId="77777777" w:rsidR="00BB45DC" w:rsidRPr="00C2390B" w:rsidRDefault="00BB45DC">
            <w:pPr>
              <w:jc w:val="right"/>
              <w:rPr>
                <w:sz w:val="20"/>
                <w:szCs w:val="20"/>
              </w:rPr>
            </w:pPr>
            <w:r w:rsidRPr="00C2390B">
              <w:rPr>
                <w:sz w:val="20"/>
                <w:szCs w:val="20"/>
              </w:rPr>
              <w:t>1.127.575.500,00</w:t>
            </w:r>
          </w:p>
        </w:tc>
      </w:tr>
      <w:tr w:rsidR="00BB45DC" w:rsidRPr="00C2390B" w14:paraId="1FAF44CE" w14:textId="77777777" w:rsidTr="00BB45DC">
        <w:trPr>
          <w:trHeight w:val="315"/>
          <w:jc w:val="center"/>
        </w:trPr>
        <w:tc>
          <w:tcPr>
            <w:tcW w:w="913"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6613E0C" w14:textId="77777777" w:rsidR="00BB45DC" w:rsidRPr="00C2390B" w:rsidRDefault="00BB45DC">
            <w:pPr>
              <w:jc w:val="center"/>
              <w:rPr>
                <w:b/>
                <w:bCs/>
                <w:sz w:val="20"/>
                <w:szCs w:val="20"/>
              </w:rPr>
            </w:pPr>
            <w:r w:rsidRPr="00C2390B">
              <w:rPr>
                <w:b/>
                <w:bCs/>
                <w:sz w:val="20"/>
                <w:szCs w:val="20"/>
              </w:rPr>
              <w:t>UKUPNO</w:t>
            </w:r>
          </w:p>
        </w:tc>
        <w:tc>
          <w:tcPr>
            <w:tcW w:w="4212" w:type="dxa"/>
            <w:tcBorders>
              <w:top w:val="double" w:sz="6" w:space="0" w:color="auto"/>
              <w:left w:val="nil"/>
              <w:bottom w:val="double" w:sz="6" w:space="0" w:color="auto"/>
              <w:right w:val="double" w:sz="6" w:space="0" w:color="auto"/>
            </w:tcBorders>
            <w:shd w:val="clear" w:color="auto" w:fill="auto"/>
            <w:noWrap/>
            <w:vAlign w:val="center"/>
            <w:hideMark/>
          </w:tcPr>
          <w:p w14:paraId="7B96217B" w14:textId="77777777" w:rsidR="00BB45DC" w:rsidRPr="00C2390B" w:rsidRDefault="00BB45DC">
            <w:pPr>
              <w:rPr>
                <w:b/>
                <w:bCs/>
                <w:sz w:val="20"/>
                <w:szCs w:val="20"/>
              </w:rPr>
            </w:pPr>
            <w:r w:rsidRPr="00C2390B">
              <w:rPr>
                <w:b/>
                <w:bCs/>
                <w:sz w:val="20"/>
                <w:szCs w:val="20"/>
              </w:rPr>
              <w:t> </w:t>
            </w:r>
          </w:p>
        </w:tc>
        <w:tc>
          <w:tcPr>
            <w:tcW w:w="782" w:type="dxa"/>
            <w:tcBorders>
              <w:top w:val="double" w:sz="6" w:space="0" w:color="auto"/>
              <w:left w:val="nil"/>
              <w:bottom w:val="double" w:sz="6" w:space="0" w:color="auto"/>
              <w:right w:val="double" w:sz="6" w:space="0" w:color="auto"/>
            </w:tcBorders>
            <w:shd w:val="clear" w:color="auto" w:fill="auto"/>
            <w:noWrap/>
            <w:vAlign w:val="center"/>
            <w:hideMark/>
          </w:tcPr>
          <w:p w14:paraId="498F64B1" w14:textId="77777777" w:rsidR="00BB45DC" w:rsidRPr="00C2390B" w:rsidRDefault="00BB45DC">
            <w:pPr>
              <w:jc w:val="center"/>
              <w:rPr>
                <w:b/>
                <w:bCs/>
                <w:sz w:val="20"/>
                <w:szCs w:val="20"/>
              </w:rPr>
            </w:pPr>
            <w:r w:rsidRPr="00C2390B">
              <w:rPr>
                <w:b/>
                <w:bCs/>
                <w:sz w:val="20"/>
                <w:szCs w:val="20"/>
              </w:rPr>
              <w:t>CEB</w:t>
            </w:r>
          </w:p>
        </w:tc>
        <w:tc>
          <w:tcPr>
            <w:tcW w:w="747" w:type="dxa"/>
            <w:tcBorders>
              <w:top w:val="double" w:sz="6" w:space="0" w:color="auto"/>
              <w:left w:val="nil"/>
              <w:bottom w:val="double" w:sz="6" w:space="0" w:color="auto"/>
              <w:right w:val="double" w:sz="6" w:space="0" w:color="auto"/>
            </w:tcBorders>
            <w:shd w:val="clear" w:color="auto" w:fill="auto"/>
            <w:noWrap/>
            <w:vAlign w:val="center"/>
            <w:hideMark/>
          </w:tcPr>
          <w:p w14:paraId="1D16C1A1" w14:textId="77777777" w:rsidR="00BB45DC" w:rsidRPr="00C2390B" w:rsidRDefault="00BB45DC">
            <w:pPr>
              <w:jc w:val="center"/>
              <w:rPr>
                <w:b/>
                <w:bCs/>
                <w:sz w:val="20"/>
                <w:szCs w:val="20"/>
              </w:rPr>
            </w:pPr>
            <w:r w:rsidRPr="00C2390B">
              <w:rPr>
                <w:b/>
                <w:bCs/>
                <w:sz w:val="20"/>
                <w:szCs w:val="20"/>
              </w:rPr>
              <w:t>EUR</w:t>
            </w:r>
          </w:p>
        </w:tc>
        <w:tc>
          <w:tcPr>
            <w:tcW w:w="1586" w:type="dxa"/>
            <w:tcBorders>
              <w:top w:val="double" w:sz="6" w:space="0" w:color="auto"/>
              <w:left w:val="nil"/>
              <w:bottom w:val="double" w:sz="6" w:space="0" w:color="auto"/>
              <w:right w:val="double" w:sz="6" w:space="0" w:color="auto"/>
            </w:tcBorders>
            <w:shd w:val="clear" w:color="auto" w:fill="auto"/>
            <w:noWrap/>
            <w:vAlign w:val="center"/>
            <w:hideMark/>
          </w:tcPr>
          <w:p w14:paraId="0D0F037A" w14:textId="77777777" w:rsidR="00BB45DC" w:rsidRPr="00C2390B" w:rsidRDefault="00BB45DC">
            <w:pPr>
              <w:jc w:val="right"/>
              <w:rPr>
                <w:b/>
                <w:bCs/>
                <w:sz w:val="20"/>
                <w:szCs w:val="20"/>
              </w:rPr>
            </w:pPr>
            <w:r w:rsidRPr="00C2390B">
              <w:rPr>
                <w:b/>
                <w:bCs/>
                <w:sz w:val="20"/>
                <w:szCs w:val="20"/>
              </w:rPr>
              <w:t>240.489.808,81</w:t>
            </w:r>
          </w:p>
        </w:tc>
        <w:tc>
          <w:tcPr>
            <w:tcW w:w="1660" w:type="dxa"/>
            <w:tcBorders>
              <w:top w:val="double" w:sz="6" w:space="0" w:color="auto"/>
              <w:left w:val="nil"/>
              <w:bottom w:val="double" w:sz="6" w:space="0" w:color="auto"/>
              <w:right w:val="double" w:sz="6" w:space="0" w:color="auto"/>
            </w:tcBorders>
            <w:shd w:val="clear" w:color="auto" w:fill="auto"/>
            <w:noWrap/>
            <w:vAlign w:val="center"/>
            <w:hideMark/>
          </w:tcPr>
          <w:p w14:paraId="14050576" w14:textId="77777777" w:rsidR="00BB45DC" w:rsidRPr="00C2390B" w:rsidRDefault="00BB45DC">
            <w:pPr>
              <w:jc w:val="right"/>
              <w:rPr>
                <w:b/>
                <w:bCs/>
                <w:sz w:val="20"/>
                <w:szCs w:val="20"/>
              </w:rPr>
            </w:pPr>
            <w:r w:rsidRPr="00C2390B">
              <w:rPr>
                <w:b/>
                <w:bCs/>
                <w:sz w:val="20"/>
                <w:szCs w:val="20"/>
              </w:rPr>
              <w:t>1.807.802.776,09</w:t>
            </w:r>
          </w:p>
        </w:tc>
      </w:tr>
      <w:tr w:rsidR="00BB45DC" w:rsidRPr="00C2390B" w14:paraId="1CB83EFD" w14:textId="77777777" w:rsidTr="00BB45DC">
        <w:trPr>
          <w:trHeight w:val="525"/>
          <w:jc w:val="center"/>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F4A83" w14:textId="77777777" w:rsidR="00BB45DC" w:rsidRPr="00C2390B" w:rsidRDefault="00BB45DC">
            <w:pPr>
              <w:jc w:val="center"/>
              <w:rPr>
                <w:sz w:val="20"/>
                <w:szCs w:val="20"/>
              </w:rPr>
            </w:pPr>
            <w:r w:rsidRPr="00C2390B">
              <w:rPr>
                <w:sz w:val="20"/>
                <w:szCs w:val="20"/>
              </w:rPr>
              <w:t>24.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40A357D" w14:textId="77777777" w:rsidR="00BB45DC" w:rsidRPr="00C2390B" w:rsidRDefault="00BB45DC">
            <w:pPr>
              <w:rPr>
                <w:sz w:val="20"/>
                <w:szCs w:val="20"/>
              </w:rPr>
            </w:pPr>
            <w:r w:rsidRPr="00C2390B">
              <w:rPr>
                <w:sz w:val="20"/>
                <w:szCs w:val="20"/>
              </w:rPr>
              <w:t>74500-HR FSL (PAL2) - Drugi programski zajam za prilagodbu</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46B2FB90" w14:textId="77777777" w:rsidR="00BB45DC" w:rsidRPr="00C2390B" w:rsidRDefault="00BB45DC">
            <w:pPr>
              <w:jc w:val="center"/>
              <w:rPr>
                <w:sz w:val="20"/>
                <w:szCs w:val="20"/>
              </w:rPr>
            </w:pPr>
            <w:r w:rsidRPr="00C2390B">
              <w:rPr>
                <w:sz w:val="20"/>
                <w:szCs w:val="20"/>
              </w:rPr>
              <w:t>IBRD</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5B69A697" w14:textId="77777777" w:rsidR="00BB45DC" w:rsidRPr="00C2390B" w:rsidRDefault="00BB45DC">
            <w:pPr>
              <w:jc w:val="center"/>
              <w:rPr>
                <w:sz w:val="20"/>
                <w:szCs w:val="20"/>
              </w:rPr>
            </w:pPr>
            <w:r w:rsidRPr="00C2390B">
              <w:rPr>
                <w:sz w:val="20"/>
                <w:szCs w:val="20"/>
              </w:rPr>
              <w:t>EUR</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14:paraId="7F28E28B" w14:textId="77777777" w:rsidR="00BB45DC" w:rsidRPr="00C2390B" w:rsidRDefault="00BB45DC">
            <w:pPr>
              <w:jc w:val="right"/>
              <w:rPr>
                <w:sz w:val="20"/>
                <w:szCs w:val="20"/>
              </w:rPr>
            </w:pPr>
            <w:r w:rsidRPr="00C2390B">
              <w:rPr>
                <w:sz w:val="20"/>
                <w:szCs w:val="20"/>
              </w:rPr>
              <w:t>5.000.000,00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E87D9B8" w14:textId="77777777" w:rsidR="00BB45DC" w:rsidRPr="00C2390B" w:rsidRDefault="00BB45DC">
            <w:pPr>
              <w:jc w:val="right"/>
              <w:rPr>
                <w:sz w:val="20"/>
                <w:szCs w:val="20"/>
              </w:rPr>
            </w:pPr>
            <w:r w:rsidRPr="00C2390B">
              <w:rPr>
                <w:sz w:val="20"/>
                <w:szCs w:val="20"/>
              </w:rPr>
              <w:t>37.585.850,00</w:t>
            </w:r>
          </w:p>
        </w:tc>
      </w:tr>
      <w:tr w:rsidR="00BB45DC" w:rsidRPr="00C2390B" w14:paraId="619E4087"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3552CE6" w14:textId="77777777" w:rsidR="00BB45DC" w:rsidRPr="00C2390B" w:rsidRDefault="00BB45DC">
            <w:pPr>
              <w:jc w:val="center"/>
              <w:rPr>
                <w:sz w:val="20"/>
                <w:szCs w:val="20"/>
              </w:rPr>
            </w:pPr>
            <w:r w:rsidRPr="00C2390B">
              <w:rPr>
                <w:sz w:val="20"/>
                <w:szCs w:val="20"/>
              </w:rPr>
              <w:t>25.</w:t>
            </w:r>
          </w:p>
        </w:tc>
        <w:tc>
          <w:tcPr>
            <w:tcW w:w="4212" w:type="dxa"/>
            <w:tcBorders>
              <w:top w:val="nil"/>
              <w:left w:val="nil"/>
              <w:bottom w:val="single" w:sz="4" w:space="0" w:color="auto"/>
              <w:right w:val="single" w:sz="4" w:space="0" w:color="auto"/>
            </w:tcBorders>
            <w:shd w:val="clear" w:color="auto" w:fill="auto"/>
            <w:vAlign w:val="center"/>
            <w:hideMark/>
          </w:tcPr>
          <w:p w14:paraId="55A86E36" w14:textId="77777777" w:rsidR="00BB45DC" w:rsidRPr="00C2390B" w:rsidRDefault="00BB45DC">
            <w:pPr>
              <w:rPr>
                <w:sz w:val="20"/>
                <w:szCs w:val="20"/>
              </w:rPr>
            </w:pPr>
            <w:r w:rsidRPr="00C2390B">
              <w:rPr>
                <w:sz w:val="20"/>
                <w:szCs w:val="20"/>
              </w:rPr>
              <w:t>74530-HR FSL - Projekt unutarnje vode</w:t>
            </w:r>
          </w:p>
        </w:tc>
        <w:tc>
          <w:tcPr>
            <w:tcW w:w="782" w:type="dxa"/>
            <w:tcBorders>
              <w:top w:val="nil"/>
              <w:left w:val="nil"/>
              <w:bottom w:val="single" w:sz="4" w:space="0" w:color="auto"/>
              <w:right w:val="single" w:sz="4" w:space="0" w:color="auto"/>
            </w:tcBorders>
            <w:shd w:val="clear" w:color="auto" w:fill="auto"/>
            <w:noWrap/>
            <w:vAlign w:val="center"/>
            <w:hideMark/>
          </w:tcPr>
          <w:p w14:paraId="3998F4B8"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3BF10E4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29BDDF63" w14:textId="77777777" w:rsidR="00BB45DC" w:rsidRPr="00C2390B" w:rsidRDefault="00BB45DC">
            <w:pPr>
              <w:jc w:val="right"/>
              <w:rPr>
                <w:sz w:val="20"/>
                <w:szCs w:val="20"/>
              </w:rPr>
            </w:pPr>
            <w:r w:rsidRPr="00C2390B">
              <w:rPr>
                <w:sz w:val="20"/>
                <w:szCs w:val="20"/>
              </w:rPr>
              <w:t>8.513.422,12</w:t>
            </w:r>
          </w:p>
        </w:tc>
        <w:tc>
          <w:tcPr>
            <w:tcW w:w="1660" w:type="dxa"/>
            <w:tcBorders>
              <w:top w:val="nil"/>
              <w:left w:val="nil"/>
              <w:bottom w:val="single" w:sz="4" w:space="0" w:color="auto"/>
              <w:right w:val="single" w:sz="4" w:space="0" w:color="auto"/>
            </w:tcBorders>
            <w:shd w:val="clear" w:color="auto" w:fill="auto"/>
            <w:noWrap/>
            <w:vAlign w:val="center"/>
            <w:hideMark/>
          </w:tcPr>
          <w:p w14:paraId="742F9CC6" w14:textId="77777777" w:rsidR="00BB45DC" w:rsidRPr="00C2390B" w:rsidRDefault="00BB45DC">
            <w:pPr>
              <w:jc w:val="right"/>
              <w:rPr>
                <w:sz w:val="20"/>
                <w:szCs w:val="20"/>
              </w:rPr>
            </w:pPr>
            <w:r w:rsidRPr="00C2390B">
              <w:rPr>
                <w:sz w:val="20"/>
                <w:szCs w:val="20"/>
              </w:rPr>
              <w:t>63.996.841,36</w:t>
            </w:r>
          </w:p>
        </w:tc>
      </w:tr>
      <w:tr w:rsidR="00BB45DC" w:rsidRPr="00C2390B" w14:paraId="5FD61F91"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F1E6AC4" w14:textId="77777777" w:rsidR="00BB45DC" w:rsidRPr="00C2390B" w:rsidRDefault="00BB45DC">
            <w:pPr>
              <w:jc w:val="center"/>
              <w:rPr>
                <w:sz w:val="20"/>
                <w:szCs w:val="20"/>
              </w:rPr>
            </w:pPr>
            <w:r w:rsidRPr="00C2390B">
              <w:rPr>
                <w:sz w:val="20"/>
                <w:szCs w:val="20"/>
              </w:rPr>
              <w:t>26.</w:t>
            </w:r>
          </w:p>
        </w:tc>
        <w:tc>
          <w:tcPr>
            <w:tcW w:w="4212" w:type="dxa"/>
            <w:tcBorders>
              <w:top w:val="nil"/>
              <w:left w:val="nil"/>
              <w:bottom w:val="single" w:sz="4" w:space="0" w:color="auto"/>
              <w:right w:val="single" w:sz="4" w:space="0" w:color="auto"/>
            </w:tcBorders>
            <w:shd w:val="clear" w:color="auto" w:fill="auto"/>
            <w:vAlign w:val="center"/>
            <w:hideMark/>
          </w:tcPr>
          <w:p w14:paraId="1CF28E03" w14:textId="77777777" w:rsidR="00BB45DC" w:rsidRPr="00C2390B" w:rsidRDefault="00BB45DC">
            <w:pPr>
              <w:rPr>
                <w:sz w:val="20"/>
                <w:szCs w:val="20"/>
              </w:rPr>
            </w:pPr>
            <w:r w:rsidRPr="00C2390B">
              <w:rPr>
                <w:sz w:val="20"/>
                <w:szCs w:val="20"/>
              </w:rPr>
              <w:t>74710-HR FSL - Projekt modernizacije Porezne uprave</w:t>
            </w:r>
          </w:p>
        </w:tc>
        <w:tc>
          <w:tcPr>
            <w:tcW w:w="782" w:type="dxa"/>
            <w:tcBorders>
              <w:top w:val="nil"/>
              <w:left w:val="nil"/>
              <w:bottom w:val="single" w:sz="4" w:space="0" w:color="auto"/>
              <w:right w:val="single" w:sz="4" w:space="0" w:color="auto"/>
            </w:tcBorders>
            <w:shd w:val="clear" w:color="auto" w:fill="auto"/>
            <w:noWrap/>
            <w:vAlign w:val="center"/>
            <w:hideMark/>
          </w:tcPr>
          <w:p w14:paraId="203ED465"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2566EF3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8F430F3" w14:textId="77777777" w:rsidR="00BB45DC" w:rsidRPr="00C2390B" w:rsidRDefault="00BB45DC">
            <w:pPr>
              <w:jc w:val="right"/>
              <w:rPr>
                <w:sz w:val="20"/>
                <w:szCs w:val="20"/>
              </w:rPr>
            </w:pPr>
            <w:r w:rsidRPr="00C2390B">
              <w:rPr>
                <w:sz w:val="20"/>
                <w:szCs w:val="20"/>
              </w:rPr>
              <w:t>585.285,46</w:t>
            </w:r>
          </w:p>
        </w:tc>
        <w:tc>
          <w:tcPr>
            <w:tcW w:w="1660" w:type="dxa"/>
            <w:tcBorders>
              <w:top w:val="nil"/>
              <w:left w:val="nil"/>
              <w:bottom w:val="single" w:sz="4" w:space="0" w:color="auto"/>
              <w:right w:val="single" w:sz="4" w:space="0" w:color="auto"/>
            </w:tcBorders>
            <w:shd w:val="clear" w:color="auto" w:fill="auto"/>
            <w:noWrap/>
            <w:vAlign w:val="center"/>
            <w:hideMark/>
          </w:tcPr>
          <w:p w14:paraId="4B06D2E9" w14:textId="77777777" w:rsidR="00BB45DC" w:rsidRPr="00C2390B" w:rsidRDefault="00BB45DC">
            <w:pPr>
              <w:jc w:val="right"/>
              <w:rPr>
                <w:sz w:val="20"/>
                <w:szCs w:val="20"/>
              </w:rPr>
            </w:pPr>
            <w:r w:rsidRPr="00C2390B">
              <w:rPr>
                <w:sz w:val="20"/>
                <w:szCs w:val="20"/>
              </w:rPr>
              <w:t>4.399.690,30</w:t>
            </w:r>
          </w:p>
        </w:tc>
      </w:tr>
      <w:tr w:rsidR="00BB45DC" w:rsidRPr="00C2390B" w14:paraId="38EDA40C" w14:textId="77777777" w:rsidTr="00BB45DC">
        <w:trPr>
          <w:trHeight w:val="76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485DF3C" w14:textId="77777777" w:rsidR="00BB45DC" w:rsidRPr="00C2390B" w:rsidRDefault="00BB45DC">
            <w:pPr>
              <w:jc w:val="center"/>
              <w:rPr>
                <w:sz w:val="20"/>
                <w:szCs w:val="20"/>
              </w:rPr>
            </w:pPr>
            <w:r w:rsidRPr="00C2390B">
              <w:rPr>
                <w:sz w:val="20"/>
                <w:szCs w:val="20"/>
              </w:rPr>
              <w:lastRenderedPageBreak/>
              <w:t>27.</w:t>
            </w:r>
          </w:p>
        </w:tc>
        <w:tc>
          <w:tcPr>
            <w:tcW w:w="4212" w:type="dxa"/>
            <w:tcBorders>
              <w:top w:val="nil"/>
              <w:left w:val="nil"/>
              <w:bottom w:val="single" w:sz="4" w:space="0" w:color="auto"/>
              <w:right w:val="single" w:sz="4" w:space="0" w:color="auto"/>
            </w:tcBorders>
            <w:shd w:val="clear" w:color="auto" w:fill="auto"/>
            <w:vAlign w:val="center"/>
            <w:hideMark/>
          </w:tcPr>
          <w:p w14:paraId="0ED1C74F" w14:textId="77777777" w:rsidR="00BB45DC" w:rsidRPr="00C2390B" w:rsidRDefault="00BB45DC">
            <w:pPr>
              <w:rPr>
                <w:sz w:val="20"/>
                <w:szCs w:val="20"/>
              </w:rPr>
            </w:pPr>
            <w:r w:rsidRPr="00C2390B">
              <w:rPr>
                <w:sz w:val="20"/>
                <w:szCs w:val="20"/>
              </w:rPr>
              <w:t>75980-HR IFL FS - Projekt unapređenja hitne medicinske pomoći i investicijskog planiranja u zdravstvu</w:t>
            </w:r>
          </w:p>
        </w:tc>
        <w:tc>
          <w:tcPr>
            <w:tcW w:w="782" w:type="dxa"/>
            <w:tcBorders>
              <w:top w:val="nil"/>
              <w:left w:val="nil"/>
              <w:bottom w:val="single" w:sz="4" w:space="0" w:color="auto"/>
              <w:right w:val="single" w:sz="4" w:space="0" w:color="auto"/>
            </w:tcBorders>
            <w:shd w:val="clear" w:color="auto" w:fill="auto"/>
            <w:noWrap/>
            <w:vAlign w:val="center"/>
            <w:hideMark/>
          </w:tcPr>
          <w:p w14:paraId="20D7D241"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12A9D611"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8860479" w14:textId="77777777" w:rsidR="00BB45DC" w:rsidRPr="00C2390B" w:rsidRDefault="00BB45DC">
            <w:pPr>
              <w:jc w:val="right"/>
              <w:rPr>
                <w:sz w:val="20"/>
                <w:szCs w:val="20"/>
              </w:rPr>
            </w:pPr>
            <w:r w:rsidRPr="00C2390B">
              <w:rPr>
                <w:sz w:val="20"/>
                <w:szCs w:val="20"/>
              </w:rPr>
              <w:t>11.250.902,97</w:t>
            </w:r>
          </w:p>
        </w:tc>
        <w:tc>
          <w:tcPr>
            <w:tcW w:w="1660" w:type="dxa"/>
            <w:tcBorders>
              <w:top w:val="nil"/>
              <w:left w:val="nil"/>
              <w:bottom w:val="single" w:sz="4" w:space="0" w:color="auto"/>
              <w:right w:val="single" w:sz="4" w:space="0" w:color="auto"/>
            </w:tcBorders>
            <w:shd w:val="clear" w:color="auto" w:fill="auto"/>
            <w:noWrap/>
            <w:vAlign w:val="center"/>
            <w:hideMark/>
          </w:tcPr>
          <w:p w14:paraId="68665592" w14:textId="77777777" w:rsidR="00BB45DC" w:rsidRPr="00C2390B" w:rsidRDefault="00BB45DC">
            <w:pPr>
              <w:jc w:val="right"/>
              <w:rPr>
                <w:sz w:val="20"/>
                <w:szCs w:val="20"/>
              </w:rPr>
            </w:pPr>
            <w:r w:rsidRPr="00C2390B">
              <w:rPr>
                <w:sz w:val="20"/>
                <w:szCs w:val="20"/>
              </w:rPr>
              <w:t>84.574.950,28</w:t>
            </w:r>
          </w:p>
        </w:tc>
      </w:tr>
      <w:tr w:rsidR="00BB45DC" w:rsidRPr="00C2390B" w14:paraId="4B2722D7"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FBB2A51" w14:textId="77777777" w:rsidR="00BB45DC" w:rsidRPr="00C2390B" w:rsidRDefault="00BB45DC">
            <w:pPr>
              <w:jc w:val="center"/>
              <w:rPr>
                <w:sz w:val="20"/>
                <w:szCs w:val="20"/>
              </w:rPr>
            </w:pPr>
            <w:r w:rsidRPr="00C2390B">
              <w:rPr>
                <w:sz w:val="20"/>
                <w:szCs w:val="20"/>
              </w:rPr>
              <w:t>28.</w:t>
            </w:r>
          </w:p>
        </w:tc>
        <w:tc>
          <w:tcPr>
            <w:tcW w:w="4212" w:type="dxa"/>
            <w:tcBorders>
              <w:top w:val="nil"/>
              <w:left w:val="nil"/>
              <w:bottom w:val="single" w:sz="4" w:space="0" w:color="auto"/>
              <w:right w:val="single" w:sz="4" w:space="0" w:color="auto"/>
            </w:tcBorders>
            <w:shd w:val="clear" w:color="auto" w:fill="auto"/>
            <w:vAlign w:val="center"/>
            <w:hideMark/>
          </w:tcPr>
          <w:p w14:paraId="1A53239E" w14:textId="77777777" w:rsidR="00BB45DC" w:rsidRPr="00C2390B" w:rsidRDefault="00BB45DC">
            <w:pPr>
              <w:rPr>
                <w:sz w:val="20"/>
                <w:szCs w:val="20"/>
              </w:rPr>
            </w:pPr>
            <w:r w:rsidRPr="00C2390B">
              <w:rPr>
                <w:sz w:val="20"/>
                <w:szCs w:val="20"/>
              </w:rPr>
              <w:t>76400-HR IFL FS - Projekt zaštite od onečišćenja voda na priobalnom području 2</w:t>
            </w:r>
          </w:p>
        </w:tc>
        <w:tc>
          <w:tcPr>
            <w:tcW w:w="782" w:type="dxa"/>
            <w:tcBorders>
              <w:top w:val="nil"/>
              <w:left w:val="nil"/>
              <w:bottom w:val="single" w:sz="4" w:space="0" w:color="auto"/>
              <w:right w:val="single" w:sz="4" w:space="0" w:color="auto"/>
            </w:tcBorders>
            <w:shd w:val="clear" w:color="auto" w:fill="auto"/>
            <w:noWrap/>
            <w:vAlign w:val="center"/>
            <w:hideMark/>
          </w:tcPr>
          <w:p w14:paraId="028A351A"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0B23CB9D"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746FD1B" w14:textId="77777777" w:rsidR="00BB45DC" w:rsidRPr="00C2390B" w:rsidRDefault="00BB45DC">
            <w:pPr>
              <w:jc w:val="right"/>
              <w:rPr>
                <w:sz w:val="20"/>
                <w:szCs w:val="20"/>
              </w:rPr>
            </w:pPr>
            <w:r w:rsidRPr="00C2390B">
              <w:rPr>
                <w:sz w:val="20"/>
                <w:szCs w:val="20"/>
              </w:rPr>
              <w:t>12.415.801,90</w:t>
            </w:r>
          </w:p>
        </w:tc>
        <w:tc>
          <w:tcPr>
            <w:tcW w:w="1660" w:type="dxa"/>
            <w:tcBorders>
              <w:top w:val="nil"/>
              <w:left w:val="nil"/>
              <w:bottom w:val="single" w:sz="4" w:space="0" w:color="auto"/>
              <w:right w:val="single" w:sz="4" w:space="0" w:color="auto"/>
            </w:tcBorders>
            <w:shd w:val="clear" w:color="auto" w:fill="auto"/>
            <w:noWrap/>
            <w:vAlign w:val="center"/>
            <w:hideMark/>
          </w:tcPr>
          <w:p w14:paraId="7968F90B" w14:textId="77777777" w:rsidR="00BB45DC" w:rsidRPr="00C2390B" w:rsidRDefault="00BB45DC">
            <w:pPr>
              <w:jc w:val="right"/>
              <w:rPr>
                <w:sz w:val="20"/>
                <w:szCs w:val="20"/>
              </w:rPr>
            </w:pPr>
            <w:r w:rsidRPr="00C2390B">
              <w:rPr>
                <w:sz w:val="20"/>
                <w:szCs w:val="20"/>
              </w:rPr>
              <w:t>93.331.693,57</w:t>
            </w:r>
          </w:p>
        </w:tc>
      </w:tr>
      <w:tr w:rsidR="00BB45DC" w:rsidRPr="00C2390B" w14:paraId="40AA1C2E"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7707815" w14:textId="77777777" w:rsidR="00BB45DC" w:rsidRPr="00C2390B" w:rsidRDefault="00BB45DC">
            <w:pPr>
              <w:jc w:val="center"/>
              <w:rPr>
                <w:sz w:val="20"/>
                <w:szCs w:val="20"/>
              </w:rPr>
            </w:pPr>
            <w:r w:rsidRPr="00C2390B">
              <w:rPr>
                <w:sz w:val="20"/>
                <w:szCs w:val="20"/>
              </w:rPr>
              <w:t>29.</w:t>
            </w:r>
          </w:p>
        </w:tc>
        <w:tc>
          <w:tcPr>
            <w:tcW w:w="4212" w:type="dxa"/>
            <w:tcBorders>
              <w:top w:val="nil"/>
              <w:left w:val="nil"/>
              <w:bottom w:val="single" w:sz="4" w:space="0" w:color="auto"/>
              <w:right w:val="single" w:sz="4" w:space="0" w:color="auto"/>
            </w:tcBorders>
            <w:shd w:val="clear" w:color="auto" w:fill="auto"/>
            <w:vAlign w:val="center"/>
            <w:hideMark/>
          </w:tcPr>
          <w:p w14:paraId="70BB9FA2" w14:textId="77777777" w:rsidR="00BB45DC" w:rsidRPr="00C2390B" w:rsidRDefault="00BB45DC">
            <w:pPr>
              <w:rPr>
                <w:sz w:val="20"/>
                <w:szCs w:val="20"/>
              </w:rPr>
            </w:pPr>
            <w:r w:rsidRPr="00C2390B">
              <w:rPr>
                <w:sz w:val="20"/>
                <w:szCs w:val="20"/>
              </w:rPr>
              <w:t>78460-HR IFL FS DPL - Zajam za razvojnu politiku u fiskalnom, socijalnom i financijskom sektoru</w:t>
            </w:r>
          </w:p>
        </w:tc>
        <w:tc>
          <w:tcPr>
            <w:tcW w:w="782" w:type="dxa"/>
            <w:tcBorders>
              <w:top w:val="nil"/>
              <w:left w:val="nil"/>
              <w:bottom w:val="single" w:sz="4" w:space="0" w:color="auto"/>
              <w:right w:val="single" w:sz="4" w:space="0" w:color="auto"/>
            </w:tcBorders>
            <w:shd w:val="clear" w:color="auto" w:fill="auto"/>
            <w:noWrap/>
            <w:vAlign w:val="center"/>
            <w:hideMark/>
          </w:tcPr>
          <w:p w14:paraId="68E7FA2B"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26752840"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795F6EA" w14:textId="77777777" w:rsidR="00BB45DC" w:rsidRPr="00C2390B" w:rsidRDefault="00BB45DC">
            <w:pPr>
              <w:jc w:val="right"/>
              <w:rPr>
                <w:sz w:val="20"/>
                <w:szCs w:val="20"/>
              </w:rPr>
            </w:pPr>
            <w:r w:rsidRPr="00C2390B">
              <w:rPr>
                <w:sz w:val="20"/>
                <w:szCs w:val="20"/>
              </w:rPr>
              <w:t>200.000.000,00</w:t>
            </w:r>
          </w:p>
        </w:tc>
        <w:tc>
          <w:tcPr>
            <w:tcW w:w="1660" w:type="dxa"/>
            <w:tcBorders>
              <w:top w:val="nil"/>
              <w:left w:val="nil"/>
              <w:bottom w:val="single" w:sz="4" w:space="0" w:color="auto"/>
              <w:right w:val="single" w:sz="4" w:space="0" w:color="auto"/>
            </w:tcBorders>
            <w:shd w:val="clear" w:color="auto" w:fill="auto"/>
            <w:noWrap/>
            <w:vAlign w:val="center"/>
            <w:hideMark/>
          </w:tcPr>
          <w:p w14:paraId="4F2E5CC7" w14:textId="77777777" w:rsidR="00BB45DC" w:rsidRPr="00C2390B" w:rsidRDefault="00BB45DC">
            <w:pPr>
              <w:jc w:val="right"/>
              <w:rPr>
                <w:sz w:val="20"/>
                <w:szCs w:val="20"/>
              </w:rPr>
            </w:pPr>
            <w:r w:rsidRPr="00C2390B">
              <w:rPr>
                <w:sz w:val="20"/>
                <w:szCs w:val="20"/>
              </w:rPr>
              <w:t>1.503.434.000,00</w:t>
            </w:r>
          </w:p>
        </w:tc>
      </w:tr>
      <w:tr w:rsidR="00BB45DC" w:rsidRPr="00C2390B" w14:paraId="7DA5201D"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907DB0A" w14:textId="77777777" w:rsidR="00BB45DC" w:rsidRPr="00C2390B" w:rsidRDefault="00BB45DC">
            <w:pPr>
              <w:jc w:val="center"/>
              <w:rPr>
                <w:sz w:val="20"/>
                <w:szCs w:val="20"/>
              </w:rPr>
            </w:pPr>
            <w:r w:rsidRPr="00C2390B">
              <w:rPr>
                <w:sz w:val="20"/>
                <w:szCs w:val="20"/>
              </w:rPr>
              <w:t>30.</w:t>
            </w:r>
          </w:p>
        </w:tc>
        <w:tc>
          <w:tcPr>
            <w:tcW w:w="4212" w:type="dxa"/>
            <w:tcBorders>
              <w:top w:val="nil"/>
              <w:left w:val="nil"/>
              <w:bottom w:val="single" w:sz="4" w:space="0" w:color="auto"/>
              <w:right w:val="single" w:sz="4" w:space="0" w:color="auto"/>
            </w:tcBorders>
            <w:shd w:val="clear" w:color="auto" w:fill="auto"/>
            <w:vAlign w:val="center"/>
            <w:hideMark/>
          </w:tcPr>
          <w:p w14:paraId="1D6AEFAB" w14:textId="77777777" w:rsidR="00BB45DC" w:rsidRPr="00C2390B" w:rsidRDefault="00BB45DC">
            <w:pPr>
              <w:rPr>
                <w:sz w:val="20"/>
                <w:szCs w:val="20"/>
              </w:rPr>
            </w:pPr>
            <w:r w:rsidRPr="00C2390B">
              <w:rPr>
                <w:sz w:val="20"/>
                <w:szCs w:val="20"/>
              </w:rPr>
              <w:t>78880-HR IFL FS - Projekt potpore pravosudnom sektoru</w:t>
            </w:r>
          </w:p>
        </w:tc>
        <w:tc>
          <w:tcPr>
            <w:tcW w:w="782" w:type="dxa"/>
            <w:tcBorders>
              <w:top w:val="nil"/>
              <w:left w:val="nil"/>
              <w:bottom w:val="single" w:sz="4" w:space="0" w:color="auto"/>
              <w:right w:val="single" w:sz="4" w:space="0" w:color="auto"/>
            </w:tcBorders>
            <w:shd w:val="clear" w:color="auto" w:fill="auto"/>
            <w:noWrap/>
            <w:vAlign w:val="center"/>
            <w:hideMark/>
          </w:tcPr>
          <w:p w14:paraId="2A792F37"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06151E63"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33B616D" w14:textId="77777777" w:rsidR="00BB45DC" w:rsidRPr="00C2390B" w:rsidRDefault="00BB45DC">
            <w:pPr>
              <w:jc w:val="right"/>
              <w:rPr>
                <w:sz w:val="20"/>
                <w:szCs w:val="20"/>
              </w:rPr>
            </w:pPr>
            <w:r w:rsidRPr="00C2390B">
              <w:rPr>
                <w:sz w:val="20"/>
                <w:szCs w:val="20"/>
              </w:rPr>
              <w:t>16.702.650,32</w:t>
            </w:r>
          </w:p>
        </w:tc>
        <w:tc>
          <w:tcPr>
            <w:tcW w:w="1660" w:type="dxa"/>
            <w:tcBorders>
              <w:top w:val="nil"/>
              <w:left w:val="nil"/>
              <w:bottom w:val="single" w:sz="4" w:space="0" w:color="auto"/>
              <w:right w:val="single" w:sz="4" w:space="0" w:color="auto"/>
            </w:tcBorders>
            <w:shd w:val="clear" w:color="auto" w:fill="auto"/>
            <w:noWrap/>
            <w:vAlign w:val="center"/>
            <w:hideMark/>
          </w:tcPr>
          <w:p w14:paraId="48158BE8" w14:textId="77777777" w:rsidR="00BB45DC" w:rsidRPr="00C2390B" w:rsidRDefault="00BB45DC">
            <w:pPr>
              <w:jc w:val="right"/>
              <w:rPr>
                <w:sz w:val="20"/>
                <w:szCs w:val="20"/>
              </w:rPr>
            </w:pPr>
            <w:r w:rsidRPr="00C2390B">
              <w:rPr>
                <w:sz w:val="20"/>
                <w:szCs w:val="20"/>
              </w:rPr>
              <w:t>125.556.661,91</w:t>
            </w:r>
          </w:p>
        </w:tc>
      </w:tr>
      <w:tr w:rsidR="00BB45DC" w:rsidRPr="00C2390B" w14:paraId="74D04D2A"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2CDFAC3" w14:textId="77777777" w:rsidR="00BB45DC" w:rsidRPr="00C2390B" w:rsidRDefault="00BB45DC">
            <w:pPr>
              <w:jc w:val="center"/>
              <w:rPr>
                <w:sz w:val="20"/>
                <w:szCs w:val="20"/>
              </w:rPr>
            </w:pPr>
            <w:r w:rsidRPr="00C2390B">
              <w:rPr>
                <w:sz w:val="20"/>
                <w:szCs w:val="20"/>
              </w:rPr>
              <w:t>31.</w:t>
            </w:r>
          </w:p>
        </w:tc>
        <w:tc>
          <w:tcPr>
            <w:tcW w:w="4212" w:type="dxa"/>
            <w:tcBorders>
              <w:top w:val="nil"/>
              <w:left w:val="nil"/>
              <w:bottom w:val="single" w:sz="4" w:space="0" w:color="auto"/>
              <w:right w:val="single" w:sz="4" w:space="0" w:color="auto"/>
            </w:tcBorders>
            <w:shd w:val="clear" w:color="auto" w:fill="auto"/>
            <w:vAlign w:val="center"/>
            <w:hideMark/>
          </w:tcPr>
          <w:p w14:paraId="7319D8FD" w14:textId="77777777" w:rsidR="00BB45DC" w:rsidRPr="00C2390B" w:rsidRDefault="00BB45DC">
            <w:pPr>
              <w:rPr>
                <w:sz w:val="20"/>
                <w:szCs w:val="20"/>
              </w:rPr>
            </w:pPr>
            <w:r w:rsidRPr="00C2390B">
              <w:rPr>
                <w:sz w:val="20"/>
                <w:szCs w:val="20"/>
              </w:rPr>
              <w:t>80210-HR IFL FS - Projekt integracije u EU Natura 2000</w:t>
            </w:r>
          </w:p>
        </w:tc>
        <w:tc>
          <w:tcPr>
            <w:tcW w:w="782" w:type="dxa"/>
            <w:tcBorders>
              <w:top w:val="nil"/>
              <w:left w:val="nil"/>
              <w:bottom w:val="single" w:sz="4" w:space="0" w:color="auto"/>
              <w:right w:val="single" w:sz="4" w:space="0" w:color="auto"/>
            </w:tcBorders>
            <w:shd w:val="clear" w:color="auto" w:fill="auto"/>
            <w:noWrap/>
            <w:vAlign w:val="center"/>
            <w:hideMark/>
          </w:tcPr>
          <w:p w14:paraId="41A64D0F"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23E708B3"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145831B" w14:textId="77777777" w:rsidR="00BB45DC" w:rsidRPr="00C2390B" w:rsidRDefault="00BB45DC">
            <w:pPr>
              <w:jc w:val="right"/>
              <w:rPr>
                <w:sz w:val="20"/>
                <w:szCs w:val="20"/>
              </w:rPr>
            </w:pPr>
            <w:r w:rsidRPr="00C2390B">
              <w:rPr>
                <w:sz w:val="20"/>
                <w:szCs w:val="20"/>
              </w:rPr>
              <w:t>12.620.684,16</w:t>
            </w:r>
          </w:p>
        </w:tc>
        <w:tc>
          <w:tcPr>
            <w:tcW w:w="1660" w:type="dxa"/>
            <w:tcBorders>
              <w:top w:val="nil"/>
              <w:left w:val="nil"/>
              <w:bottom w:val="single" w:sz="4" w:space="0" w:color="auto"/>
              <w:right w:val="single" w:sz="4" w:space="0" w:color="auto"/>
            </w:tcBorders>
            <w:shd w:val="clear" w:color="auto" w:fill="auto"/>
            <w:noWrap/>
            <w:vAlign w:val="center"/>
            <w:hideMark/>
          </w:tcPr>
          <w:p w14:paraId="12C398F9" w14:textId="77777777" w:rsidR="00BB45DC" w:rsidRPr="00C2390B" w:rsidRDefault="00BB45DC">
            <w:pPr>
              <w:jc w:val="right"/>
              <w:rPr>
                <w:sz w:val="20"/>
                <w:szCs w:val="20"/>
              </w:rPr>
            </w:pPr>
            <w:r w:rsidRPr="00C2390B">
              <w:rPr>
                <w:sz w:val="20"/>
                <w:szCs w:val="20"/>
              </w:rPr>
              <w:t>94.871.828,35</w:t>
            </w:r>
          </w:p>
        </w:tc>
      </w:tr>
      <w:tr w:rsidR="00BB45DC" w:rsidRPr="00C2390B" w14:paraId="66BA0CB1"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62D33C0" w14:textId="77777777" w:rsidR="00BB45DC" w:rsidRPr="00C2390B" w:rsidRDefault="00BB45DC">
            <w:pPr>
              <w:jc w:val="center"/>
              <w:rPr>
                <w:sz w:val="20"/>
                <w:szCs w:val="20"/>
              </w:rPr>
            </w:pPr>
            <w:r w:rsidRPr="00C2390B">
              <w:rPr>
                <w:sz w:val="20"/>
                <w:szCs w:val="20"/>
              </w:rPr>
              <w:t>32.</w:t>
            </w:r>
          </w:p>
        </w:tc>
        <w:tc>
          <w:tcPr>
            <w:tcW w:w="4212" w:type="dxa"/>
            <w:tcBorders>
              <w:top w:val="nil"/>
              <w:left w:val="nil"/>
              <w:bottom w:val="single" w:sz="4" w:space="0" w:color="auto"/>
              <w:right w:val="single" w:sz="4" w:space="0" w:color="auto"/>
            </w:tcBorders>
            <w:shd w:val="clear" w:color="auto" w:fill="auto"/>
            <w:vAlign w:val="center"/>
            <w:hideMark/>
          </w:tcPr>
          <w:p w14:paraId="3F273161" w14:textId="77777777" w:rsidR="00BB45DC" w:rsidRPr="00C2390B" w:rsidRDefault="00BB45DC">
            <w:pPr>
              <w:rPr>
                <w:sz w:val="20"/>
                <w:szCs w:val="20"/>
              </w:rPr>
            </w:pPr>
            <w:r w:rsidRPr="00C2390B">
              <w:rPr>
                <w:sz w:val="20"/>
                <w:szCs w:val="20"/>
              </w:rPr>
              <w:t>80630-HR IFL FS ERDPL - Zajam za razvojnu politiku gospodarskog oporavka</w:t>
            </w:r>
          </w:p>
        </w:tc>
        <w:tc>
          <w:tcPr>
            <w:tcW w:w="782" w:type="dxa"/>
            <w:tcBorders>
              <w:top w:val="nil"/>
              <w:left w:val="nil"/>
              <w:bottom w:val="single" w:sz="4" w:space="0" w:color="auto"/>
              <w:right w:val="single" w:sz="4" w:space="0" w:color="auto"/>
            </w:tcBorders>
            <w:shd w:val="clear" w:color="auto" w:fill="auto"/>
            <w:noWrap/>
            <w:vAlign w:val="center"/>
            <w:hideMark/>
          </w:tcPr>
          <w:p w14:paraId="5D9E2DFA"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1856C490"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3BF7BA3" w14:textId="77777777" w:rsidR="00BB45DC" w:rsidRPr="00C2390B" w:rsidRDefault="00BB45DC">
            <w:pPr>
              <w:jc w:val="right"/>
              <w:rPr>
                <w:sz w:val="20"/>
                <w:szCs w:val="20"/>
              </w:rPr>
            </w:pPr>
            <w:r w:rsidRPr="00C2390B">
              <w:rPr>
                <w:sz w:val="20"/>
                <w:szCs w:val="20"/>
              </w:rPr>
              <w:t>150.000.000,00</w:t>
            </w:r>
          </w:p>
        </w:tc>
        <w:tc>
          <w:tcPr>
            <w:tcW w:w="1660" w:type="dxa"/>
            <w:tcBorders>
              <w:top w:val="nil"/>
              <w:left w:val="nil"/>
              <w:bottom w:val="single" w:sz="4" w:space="0" w:color="auto"/>
              <w:right w:val="single" w:sz="4" w:space="0" w:color="auto"/>
            </w:tcBorders>
            <w:shd w:val="clear" w:color="auto" w:fill="auto"/>
            <w:noWrap/>
            <w:vAlign w:val="center"/>
            <w:hideMark/>
          </w:tcPr>
          <w:p w14:paraId="73F7064F" w14:textId="77777777" w:rsidR="00BB45DC" w:rsidRPr="00C2390B" w:rsidRDefault="00BB45DC">
            <w:pPr>
              <w:jc w:val="right"/>
              <w:rPr>
                <w:sz w:val="20"/>
                <w:szCs w:val="20"/>
              </w:rPr>
            </w:pPr>
            <w:r w:rsidRPr="00C2390B">
              <w:rPr>
                <w:sz w:val="20"/>
                <w:szCs w:val="20"/>
              </w:rPr>
              <w:t>1.127.575.500,00</w:t>
            </w:r>
          </w:p>
        </w:tc>
      </w:tr>
      <w:tr w:rsidR="00BB45DC" w:rsidRPr="00C2390B" w14:paraId="1AA8DDAA"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A85D638" w14:textId="77777777" w:rsidR="00BB45DC" w:rsidRPr="00C2390B" w:rsidRDefault="00BB45DC">
            <w:pPr>
              <w:jc w:val="center"/>
              <w:rPr>
                <w:sz w:val="20"/>
                <w:szCs w:val="20"/>
              </w:rPr>
            </w:pPr>
            <w:r w:rsidRPr="00C2390B">
              <w:rPr>
                <w:sz w:val="20"/>
                <w:szCs w:val="20"/>
              </w:rPr>
              <w:t>33.</w:t>
            </w:r>
          </w:p>
        </w:tc>
        <w:tc>
          <w:tcPr>
            <w:tcW w:w="4212" w:type="dxa"/>
            <w:tcBorders>
              <w:top w:val="nil"/>
              <w:left w:val="nil"/>
              <w:bottom w:val="single" w:sz="4" w:space="0" w:color="auto"/>
              <w:right w:val="single" w:sz="4" w:space="0" w:color="auto"/>
            </w:tcBorders>
            <w:shd w:val="clear" w:color="auto" w:fill="auto"/>
            <w:vAlign w:val="center"/>
            <w:hideMark/>
          </w:tcPr>
          <w:p w14:paraId="4B77D5BF" w14:textId="77777777" w:rsidR="00BB45DC" w:rsidRPr="00C2390B" w:rsidRDefault="00BB45DC">
            <w:pPr>
              <w:rPr>
                <w:sz w:val="20"/>
                <w:szCs w:val="20"/>
              </w:rPr>
            </w:pPr>
            <w:r w:rsidRPr="00C2390B">
              <w:rPr>
                <w:sz w:val="20"/>
                <w:szCs w:val="20"/>
              </w:rPr>
              <w:t>80860-HR IFL FS - Projekt implementacije integriranog sustava zemljišne administracije</w:t>
            </w:r>
          </w:p>
        </w:tc>
        <w:tc>
          <w:tcPr>
            <w:tcW w:w="782" w:type="dxa"/>
            <w:tcBorders>
              <w:top w:val="nil"/>
              <w:left w:val="nil"/>
              <w:bottom w:val="single" w:sz="4" w:space="0" w:color="auto"/>
              <w:right w:val="single" w:sz="4" w:space="0" w:color="auto"/>
            </w:tcBorders>
            <w:shd w:val="clear" w:color="auto" w:fill="auto"/>
            <w:noWrap/>
            <w:vAlign w:val="center"/>
            <w:hideMark/>
          </w:tcPr>
          <w:p w14:paraId="4F4FCB17"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432F0EDE"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7F5A287F" w14:textId="77777777" w:rsidR="00BB45DC" w:rsidRPr="00C2390B" w:rsidRDefault="00BB45DC">
            <w:pPr>
              <w:jc w:val="right"/>
              <w:rPr>
                <w:sz w:val="20"/>
                <w:szCs w:val="20"/>
              </w:rPr>
            </w:pPr>
            <w:r w:rsidRPr="00C2390B">
              <w:rPr>
                <w:sz w:val="20"/>
                <w:szCs w:val="20"/>
              </w:rPr>
              <w:t>10.309.987,57</w:t>
            </w:r>
          </w:p>
        </w:tc>
        <w:tc>
          <w:tcPr>
            <w:tcW w:w="1660" w:type="dxa"/>
            <w:tcBorders>
              <w:top w:val="nil"/>
              <w:left w:val="nil"/>
              <w:bottom w:val="single" w:sz="4" w:space="0" w:color="auto"/>
              <w:right w:val="single" w:sz="4" w:space="0" w:color="auto"/>
            </w:tcBorders>
            <w:shd w:val="clear" w:color="auto" w:fill="auto"/>
            <w:noWrap/>
            <w:vAlign w:val="center"/>
            <w:hideMark/>
          </w:tcPr>
          <w:p w14:paraId="40D085C6" w14:textId="77777777" w:rsidR="00BB45DC" w:rsidRPr="00C2390B" w:rsidRDefault="00BB45DC">
            <w:pPr>
              <w:jc w:val="right"/>
              <w:rPr>
                <w:sz w:val="20"/>
                <w:szCs w:val="20"/>
              </w:rPr>
            </w:pPr>
            <w:r w:rsidRPr="00C2390B">
              <w:rPr>
                <w:sz w:val="20"/>
                <w:szCs w:val="20"/>
              </w:rPr>
              <w:t>77.501.929,26</w:t>
            </w:r>
          </w:p>
        </w:tc>
      </w:tr>
      <w:tr w:rsidR="00BB45DC" w:rsidRPr="00C2390B" w14:paraId="0D32BB7F"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B4C8957" w14:textId="77777777" w:rsidR="00BB45DC" w:rsidRPr="00C2390B" w:rsidRDefault="00BB45DC">
            <w:pPr>
              <w:jc w:val="center"/>
              <w:rPr>
                <w:sz w:val="20"/>
                <w:szCs w:val="20"/>
              </w:rPr>
            </w:pPr>
            <w:r w:rsidRPr="00C2390B">
              <w:rPr>
                <w:sz w:val="20"/>
                <w:szCs w:val="20"/>
              </w:rPr>
              <w:t>34.</w:t>
            </w:r>
          </w:p>
        </w:tc>
        <w:tc>
          <w:tcPr>
            <w:tcW w:w="4212" w:type="dxa"/>
            <w:tcBorders>
              <w:top w:val="nil"/>
              <w:left w:val="nil"/>
              <w:bottom w:val="single" w:sz="4" w:space="0" w:color="auto"/>
              <w:right w:val="single" w:sz="4" w:space="0" w:color="auto"/>
            </w:tcBorders>
            <w:shd w:val="clear" w:color="auto" w:fill="auto"/>
            <w:vAlign w:val="center"/>
            <w:hideMark/>
          </w:tcPr>
          <w:p w14:paraId="223DAC7E" w14:textId="77777777" w:rsidR="00BB45DC" w:rsidRPr="00C2390B" w:rsidRDefault="00BB45DC">
            <w:pPr>
              <w:rPr>
                <w:sz w:val="20"/>
                <w:szCs w:val="20"/>
              </w:rPr>
            </w:pPr>
            <w:r w:rsidRPr="00C2390B">
              <w:rPr>
                <w:sz w:val="20"/>
                <w:szCs w:val="20"/>
              </w:rPr>
              <w:t>82580-HR IFL FS - Drugi projekt tehnologijskog razvoja</w:t>
            </w:r>
          </w:p>
        </w:tc>
        <w:tc>
          <w:tcPr>
            <w:tcW w:w="782" w:type="dxa"/>
            <w:tcBorders>
              <w:top w:val="nil"/>
              <w:left w:val="nil"/>
              <w:bottom w:val="single" w:sz="4" w:space="0" w:color="auto"/>
              <w:right w:val="single" w:sz="4" w:space="0" w:color="auto"/>
            </w:tcBorders>
            <w:shd w:val="clear" w:color="auto" w:fill="auto"/>
            <w:noWrap/>
            <w:vAlign w:val="center"/>
            <w:hideMark/>
          </w:tcPr>
          <w:p w14:paraId="330F281A"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67824E7A"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0D0980C8" w14:textId="77777777" w:rsidR="00BB45DC" w:rsidRPr="00C2390B" w:rsidRDefault="00BB45DC">
            <w:pPr>
              <w:jc w:val="right"/>
              <w:rPr>
                <w:sz w:val="20"/>
                <w:szCs w:val="20"/>
              </w:rPr>
            </w:pPr>
            <w:r w:rsidRPr="00C2390B">
              <w:rPr>
                <w:sz w:val="20"/>
                <w:szCs w:val="20"/>
              </w:rPr>
              <w:t>3.629.767,39</w:t>
            </w:r>
          </w:p>
        </w:tc>
        <w:tc>
          <w:tcPr>
            <w:tcW w:w="1660" w:type="dxa"/>
            <w:tcBorders>
              <w:top w:val="nil"/>
              <w:left w:val="nil"/>
              <w:bottom w:val="single" w:sz="4" w:space="0" w:color="auto"/>
              <w:right w:val="single" w:sz="4" w:space="0" w:color="auto"/>
            </w:tcBorders>
            <w:shd w:val="clear" w:color="auto" w:fill="auto"/>
            <w:noWrap/>
            <w:vAlign w:val="center"/>
            <w:hideMark/>
          </w:tcPr>
          <w:p w14:paraId="409E1FB2" w14:textId="77777777" w:rsidR="00BB45DC" w:rsidRPr="00C2390B" w:rsidRDefault="00BB45DC">
            <w:pPr>
              <w:jc w:val="right"/>
              <w:rPr>
                <w:sz w:val="20"/>
                <w:szCs w:val="20"/>
              </w:rPr>
            </w:pPr>
            <w:r w:rsidRPr="00C2390B">
              <w:rPr>
                <w:sz w:val="20"/>
                <w:szCs w:val="20"/>
              </w:rPr>
              <w:t>27.285.578,53</w:t>
            </w:r>
          </w:p>
        </w:tc>
      </w:tr>
      <w:tr w:rsidR="00BB45DC" w:rsidRPr="00C2390B" w14:paraId="72674D1C"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E4FA3B7" w14:textId="77777777" w:rsidR="00BB45DC" w:rsidRPr="00C2390B" w:rsidRDefault="00BB45DC">
            <w:pPr>
              <w:jc w:val="center"/>
              <w:rPr>
                <w:sz w:val="20"/>
                <w:szCs w:val="20"/>
              </w:rPr>
            </w:pPr>
            <w:r w:rsidRPr="00C2390B">
              <w:rPr>
                <w:sz w:val="20"/>
                <w:szCs w:val="20"/>
              </w:rPr>
              <w:t>35.</w:t>
            </w:r>
          </w:p>
        </w:tc>
        <w:tc>
          <w:tcPr>
            <w:tcW w:w="4212" w:type="dxa"/>
            <w:tcBorders>
              <w:top w:val="nil"/>
              <w:left w:val="nil"/>
              <w:bottom w:val="single" w:sz="4" w:space="0" w:color="auto"/>
              <w:right w:val="single" w:sz="4" w:space="0" w:color="auto"/>
            </w:tcBorders>
            <w:shd w:val="clear" w:color="auto" w:fill="auto"/>
            <w:vAlign w:val="center"/>
            <w:hideMark/>
          </w:tcPr>
          <w:p w14:paraId="0048A69C" w14:textId="77777777" w:rsidR="00BB45DC" w:rsidRPr="00C2390B" w:rsidRDefault="00BB45DC">
            <w:pPr>
              <w:rPr>
                <w:sz w:val="20"/>
                <w:szCs w:val="20"/>
              </w:rPr>
            </w:pPr>
            <w:r w:rsidRPr="00C2390B">
              <w:rPr>
                <w:sz w:val="20"/>
                <w:szCs w:val="20"/>
              </w:rPr>
              <w:t>83640-HR IFL FS ERDPL 2 - Drugi zajam za razvojnu politiku gospodarskog oporavka</w:t>
            </w:r>
          </w:p>
        </w:tc>
        <w:tc>
          <w:tcPr>
            <w:tcW w:w="782" w:type="dxa"/>
            <w:tcBorders>
              <w:top w:val="nil"/>
              <w:left w:val="nil"/>
              <w:bottom w:val="single" w:sz="4" w:space="0" w:color="auto"/>
              <w:right w:val="single" w:sz="4" w:space="0" w:color="auto"/>
            </w:tcBorders>
            <w:shd w:val="clear" w:color="auto" w:fill="auto"/>
            <w:noWrap/>
            <w:vAlign w:val="center"/>
            <w:hideMark/>
          </w:tcPr>
          <w:p w14:paraId="7E2C5D59"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070625C2"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1E34019" w14:textId="77777777" w:rsidR="00BB45DC" w:rsidRPr="00C2390B" w:rsidRDefault="00BB45DC">
            <w:pPr>
              <w:jc w:val="right"/>
              <w:rPr>
                <w:sz w:val="20"/>
                <w:szCs w:val="20"/>
              </w:rPr>
            </w:pPr>
            <w:r w:rsidRPr="00C2390B">
              <w:rPr>
                <w:sz w:val="20"/>
                <w:szCs w:val="20"/>
              </w:rPr>
              <w:t>150.000.000,00</w:t>
            </w:r>
          </w:p>
        </w:tc>
        <w:tc>
          <w:tcPr>
            <w:tcW w:w="1660" w:type="dxa"/>
            <w:tcBorders>
              <w:top w:val="nil"/>
              <w:left w:val="nil"/>
              <w:bottom w:val="single" w:sz="4" w:space="0" w:color="auto"/>
              <w:right w:val="single" w:sz="4" w:space="0" w:color="auto"/>
            </w:tcBorders>
            <w:shd w:val="clear" w:color="auto" w:fill="auto"/>
            <w:noWrap/>
            <w:vAlign w:val="center"/>
            <w:hideMark/>
          </w:tcPr>
          <w:p w14:paraId="561EB089" w14:textId="77777777" w:rsidR="00BB45DC" w:rsidRPr="00C2390B" w:rsidRDefault="00BB45DC">
            <w:pPr>
              <w:jc w:val="right"/>
              <w:rPr>
                <w:sz w:val="20"/>
                <w:szCs w:val="20"/>
              </w:rPr>
            </w:pPr>
            <w:r w:rsidRPr="00C2390B">
              <w:rPr>
                <w:sz w:val="20"/>
                <w:szCs w:val="20"/>
              </w:rPr>
              <w:t>1.127.575.500,00</w:t>
            </w:r>
          </w:p>
        </w:tc>
      </w:tr>
      <w:tr w:rsidR="00BB45DC" w:rsidRPr="00C2390B" w14:paraId="5ACD1A90"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006271C" w14:textId="77777777" w:rsidR="00BB45DC" w:rsidRPr="00C2390B" w:rsidRDefault="00BB45DC">
            <w:pPr>
              <w:jc w:val="center"/>
              <w:rPr>
                <w:sz w:val="20"/>
                <w:szCs w:val="20"/>
              </w:rPr>
            </w:pPr>
            <w:r w:rsidRPr="00C2390B">
              <w:rPr>
                <w:sz w:val="20"/>
                <w:szCs w:val="20"/>
              </w:rPr>
              <w:t>36.</w:t>
            </w:r>
          </w:p>
        </w:tc>
        <w:tc>
          <w:tcPr>
            <w:tcW w:w="4212" w:type="dxa"/>
            <w:tcBorders>
              <w:top w:val="nil"/>
              <w:left w:val="nil"/>
              <w:bottom w:val="single" w:sz="4" w:space="0" w:color="auto"/>
              <w:right w:val="single" w:sz="4" w:space="0" w:color="auto"/>
            </w:tcBorders>
            <w:shd w:val="clear" w:color="auto" w:fill="auto"/>
            <w:vAlign w:val="center"/>
            <w:hideMark/>
          </w:tcPr>
          <w:p w14:paraId="0716FB12" w14:textId="77777777" w:rsidR="00BB45DC" w:rsidRPr="00C2390B" w:rsidRDefault="00BB45DC">
            <w:pPr>
              <w:rPr>
                <w:sz w:val="20"/>
                <w:szCs w:val="20"/>
              </w:rPr>
            </w:pPr>
            <w:r w:rsidRPr="00C2390B">
              <w:rPr>
                <w:sz w:val="20"/>
                <w:szCs w:val="20"/>
              </w:rPr>
              <w:t>83650-HR IFL FS - Program poboljšanja kvalitete i djelotvornosti pružanja zdravstvenih usluga</w:t>
            </w:r>
          </w:p>
        </w:tc>
        <w:tc>
          <w:tcPr>
            <w:tcW w:w="782" w:type="dxa"/>
            <w:tcBorders>
              <w:top w:val="nil"/>
              <w:left w:val="nil"/>
              <w:bottom w:val="single" w:sz="4" w:space="0" w:color="auto"/>
              <w:right w:val="single" w:sz="4" w:space="0" w:color="auto"/>
            </w:tcBorders>
            <w:shd w:val="clear" w:color="auto" w:fill="auto"/>
            <w:noWrap/>
            <w:vAlign w:val="center"/>
            <w:hideMark/>
          </w:tcPr>
          <w:p w14:paraId="17AAA73A"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08DE1A5C"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4BA5E4E0" w14:textId="77777777" w:rsidR="00BB45DC" w:rsidRPr="00C2390B" w:rsidRDefault="00BB45DC">
            <w:pPr>
              <w:jc w:val="right"/>
              <w:rPr>
                <w:sz w:val="20"/>
                <w:szCs w:val="20"/>
              </w:rPr>
            </w:pPr>
            <w:r w:rsidRPr="00C2390B">
              <w:rPr>
                <w:sz w:val="20"/>
                <w:szCs w:val="20"/>
              </w:rPr>
              <w:t>50.500.225,19</w:t>
            </w:r>
          </w:p>
        </w:tc>
        <w:tc>
          <w:tcPr>
            <w:tcW w:w="1660" w:type="dxa"/>
            <w:tcBorders>
              <w:top w:val="nil"/>
              <w:left w:val="nil"/>
              <w:bottom w:val="single" w:sz="4" w:space="0" w:color="auto"/>
              <w:right w:val="single" w:sz="4" w:space="0" w:color="auto"/>
            </w:tcBorders>
            <w:shd w:val="clear" w:color="auto" w:fill="auto"/>
            <w:noWrap/>
            <w:vAlign w:val="center"/>
            <w:hideMark/>
          </w:tcPr>
          <w:p w14:paraId="364A4886" w14:textId="77777777" w:rsidR="00BB45DC" w:rsidRPr="00C2390B" w:rsidRDefault="00BB45DC">
            <w:pPr>
              <w:jc w:val="right"/>
              <w:rPr>
                <w:sz w:val="20"/>
                <w:szCs w:val="20"/>
              </w:rPr>
            </w:pPr>
            <w:r w:rsidRPr="00C2390B">
              <w:rPr>
                <w:sz w:val="20"/>
                <w:szCs w:val="20"/>
              </w:rPr>
              <w:t>379.618.777,79</w:t>
            </w:r>
          </w:p>
        </w:tc>
      </w:tr>
      <w:tr w:rsidR="00BB45DC" w:rsidRPr="00C2390B" w14:paraId="7B848B29"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980F702" w14:textId="77777777" w:rsidR="00BB45DC" w:rsidRPr="00C2390B" w:rsidRDefault="00BB45DC">
            <w:pPr>
              <w:jc w:val="center"/>
              <w:rPr>
                <w:sz w:val="20"/>
                <w:szCs w:val="20"/>
              </w:rPr>
            </w:pPr>
            <w:r w:rsidRPr="00C2390B">
              <w:rPr>
                <w:sz w:val="20"/>
                <w:szCs w:val="20"/>
              </w:rPr>
              <w:t>37.</w:t>
            </w:r>
          </w:p>
        </w:tc>
        <w:tc>
          <w:tcPr>
            <w:tcW w:w="4212" w:type="dxa"/>
            <w:tcBorders>
              <w:top w:val="nil"/>
              <w:left w:val="nil"/>
              <w:bottom w:val="single" w:sz="4" w:space="0" w:color="auto"/>
              <w:right w:val="single" w:sz="4" w:space="0" w:color="auto"/>
            </w:tcBorders>
            <w:shd w:val="clear" w:color="auto" w:fill="auto"/>
            <w:vAlign w:val="center"/>
            <w:hideMark/>
          </w:tcPr>
          <w:p w14:paraId="3390C266" w14:textId="77777777" w:rsidR="00BB45DC" w:rsidRPr="00C2390B" w:rsidRDefault="00BB45DC">
            <w:pPr>
              <w:rPr>
                <w:sz w:val="20"/>
                <w:szCs w:val="20"/>
              </w:rPr>
            </w:pPr>
            <w:r w:rsidRPr="00C2390B">
              <w:rPr>
                <w:sz w:val="20"/>
                <w:szCs w:val="20"/>
              </w:rPr>
              <w:t>87490-HR IFL FS - Projekt modernizacije i restrukturiranja cestovnog sektora</w:t>
            </w:r>
          </w:p>
        </w:tc>
        <w:tc>
          <w:tcPr>
            <w:tcW w:w="782" w:type="dxa"/>
            <w:tcBorders>
              <w:top w:val="nil"/>
              <w:left w:val="nil"/>
              <w:bottom w:val="single" w:sz="4" w:space="0" w:color="auto"/>
              <w:right w:val="single" w:sz="4" w:space="0" w:color="auto"/>
            </w:tcBorders>
            <w:shd w:val="clear" w:color="auto" w:fill="auto"/>
            <w:noWrap/>
            <w:vAlign w:val="center"/>
            <w:hideMark/>
          </w:tcPr>
          <w:p w14:paraId="537E7F25"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36E0A235"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62BB9714" w14:textId="77777777" w:rsidR="00BB45DC" w:rsidRPr="00C2390B" w:rsidRDefault="00BB45DC">
            <w:pPr>
              <w:jc w:val="right"/>
              <w:rPr>
                <w:sz w:val="20"/>
                <w:szCs w:val="20"/>
              </w:rPr>
            </w:pPr>
            <w:r w:rsidRPr="00C2390B">
              <w:rPr>
                <w:sz w:val="20"/>
                <w:szCs w:val="20"/>
              </w:rPr>
              <w:t>13.619.821,52</w:t>
            </w:r>
          </w:p>
        </w:tc>
        <w:tc>
          <w:tcPr>
            <w:tcW w:w="1660" w:type="dxa"/>
            <w:tcBorders>
              <w:top w:val="nil"/>
              <w:left w:val="nil"/>
              <w:bottom w:val="single" w:sz="4" w:space="0" w:color="auto"/>
              <w:right w:val="single" w:sz="4" w:space="0" w:color="auto"/>
            </w:tcBorders>
            <w:shd w:val="clear" w:color="auto" w:fill="auto"/>
            <w:noWrap/>
            <w:vAlign w:val="center"/>
            <w:hideMark/>
          </w:tcPr>
          <w:p w14:paraId="519FD393" w14:textId="77777777" w:rsidR="00BB45DC" w:rsidRPr="00C2390B" w:rsidRDefault="00BB45DC">
            <w:pPr>
              <w:jc w:val="right"/>
              <w:rPr>
                <w:sz w:val="20"/>
                <w:szCs w:val="20"/>
              </w:rPr>
            </w:pPr>
            <w:r w:rsidRPr="00C2390B">
              <w:rPr>
                <w:sz w:val="20"/>
                <w:szCs w:val="20"/>
              </w:rPr>
              <w:t>102.382.513,74</w:t>
            </w:r>
          </w:p>
        </w:tc>
      </w:tr>
      <w:tr w:rsidR="00BB45DC" w:rsidRPr="00C2390B" w14:paraId="14EA8171"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6DB9F27" w14:textId="77777777" w:rsidR="00BB45DC" w:rsidRPr="00C2390B" w:rsidRDefault="00BB45DC">
            <w:pPr>
              <w:jc w:val="center"/>
              <w:rPr>
                <w:sz w:val="20"/>
                <w:szCs w:val="20"/>
              </w:rPr>
            </w:pPr>
            <w:r w:rsidRPr="00C2390B">
              <w:rPr>
                <w:sz w:val="20"/>
                <w:szCs w:val="20"/>
              </w:rPr>
              <w:t>38.</w:t>
            </w:r>
          </w:p>
        </w:tc>
        <w:tc>
          <w:tcPr>
            <w:tcW w:w="4212" w:type="dxa"/>
            <w:tcBorders>
              <w:top w:val="nil"/>
              <w:left w:val="nil"/>
              <w:bottom w:val="single" w:sz="4" w:space="0" w:color="auto"/>
              <w:right w:val="single" w:sz="4" w:space="0" w:color="auto"/>
            </w:tcBorders>
            <w:shd w:val="clear" w:color="auto" w:fill="auto"/>
            <w:vAlign w:val="center"/>
            <w:hideMark/>
          </w:tcPr>
          <w:p w14:paraId="52756D5D" w14:textId="77777777" w:rsidR="00BB45DC" w:rsidRPr="00C2390B" w:rsidRDefault="00BB45DC">
            <w:pPr>
              <w:rPr>
                <w:sz w:val="20"/>
                <w:szCs w:val="20"/>
              </w:rPr>
            </w:pPr>
            <w:r w:rsidRPr="00C2390B">
              <w:rPr>
                <w:sz w:val="20"/>
                <w:szCs w:val="20"/>
              </w:rPr>
              <w:t xml:space="preserve">89000-HR IFL FS - Dodatno financiranje Projekta implementacije integriranog sustava zemljišne administracije </w:t>
            </w:r>
          </w:p>
        </w:tc>
        <w:tc>
          <w:tcPr>
            <w:tcW w:w="782" w:type="dxa"/>
            <w:tcBorders>
              <w:top w:val="nil"/>
              <w:left w:val="nil"/>
              <w:bottom w:val="single" w:sz="4" w:space="0" w:color="auto"/>
              <w:right w:val="single" w:sz="4" w:space="0" w:color="auto"/>
            </w:tcBorders>
            <w:shd w:val="clear" w:color="auto" w:fill="auto"/>
            <w:noWrap/>
            <w:vAlign w:val="center"/>
            <w:hideMark/>
          </w:tcPr>
          <w:p w14:paraId="7DF16C96"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31DFB499"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6E202008" w14:textId="77777777" w:rsidR="00BB45DC" w:rsidRPr="00C2390B" w:rsidRDefault="00BB45DC">
            <w:pPr>
              <w:jc w:val="right"/>
              <w:rPr>
                <w:sz w:val="20"/>
                <w:szCs w:val="20"/>
              </w:rPr>
            </w:pPr>
            <w:r w:rsidRPr="00C2390B">
              <w:rPr>
                <w:sz w:val="20"/>
                <w:szCs w:val="20"/>
              </w:rPr>
              <w:t>13.795.320,59</w:t>
            </w:r>
          </w:p>
        </w:tc>
        <w:tc>
          <w:tcPr>
            <w:tcW w:w="1660" w:type="dxa"/>
            <w:tcBorders>
              <w:top w:val="nil"/>
              <w:left w:val="nil"/>
              <w:bottom w:val="single" w:sz="4" w:space="0" w:color="auto"/>
              <w:right w:val="single" w:sz="4" w:space="0" w:color="auto"/>
            </w:tcBorders>
            <w:shd w:val="clear" w:color="auto" w:fill="auto"/>
            <w:noWrap/>
            <w:vAlign w:val="center"/>
            <w:hideMark/>
          </w:tcPr>
          <w:p w14:paraId="6179B390" w14:textId="77777777" w:rsidR="00BB45DC" w:rsidRPr="00C2390B" w:rsidRDefault="00BB45DC">
            <w:pPr>
              <w:jc w:val="right"/>
              <w:rPr>
                <w:sz w:val="20"/>
                <w:szCs w:val="20"/>
              </w:rPr>
            </w:pPr>
            <w:r w:rsidRPr="00C2390B">
              <w:rPr>
                <w:sz w:val="20"/>
                <w:szCs w:val="20"/>
              </w:rPr>
              <w:t>103.701.770,08</w:t>
            </w:r>
          </w:p>
        </w:tc>
      </w:tr>
      <w:tr w:rsidR="00BB45DC" w:rsidRPr="00C2390B" w14:paraId="53DD99FE" w14:textId="77777777" w:rsidTr="00BB45DC">
        <w:trPr>
          <w:trHeight w:val="25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37495A2" w14:textId="77777777" w:rsidR="00BB45DC" w:rsidRPr="00C2390B" w:rsidRDefault="00BB45DC">
            <w:pPr>
              <w:jc w:val="center"/>
              <w:rPr>
                <w:sz w:val="20"/>
                <w:szCs w:val="20"/>
              </w:rPr>
            </w:pPr>
            <w:r w:rsidRPr="00C2390B">
              <w:rPr>
                <w:sz w:val="20"/>
                <w:szCs w:val="20"/>
              </w:rPr>
              <w:t>39.</w:t>
            </w:r>
          </w:p>
        </w:tc>
        <w:tc>
          <w:tcPr>
            <w:tcW w:w="4212" w:type="dxa"/>
            <w:tcBorders>
              <w:top w:val="nil"/>
              <w:left w:val="nil"/>
              <w:bottom w:val="single" w:sz="4" w:space="0" w:color="auto"/>
              <w:right w:val="single" w:sz="4" w:space="0" w:color="auto"/>
            </w:tcBorders>
            <w:shd w:val="clear" w:color="auto" w:fill="auto"/>
            <w:vAlign w:val="center"/>
            <w:hideMark/>
          </w:tcPr>
          <w:p w14:paraId="2A9D2991" w14:textId="77777777" w:rsidR="00BB45DC" w:rsidRPr="00C2390B" w:rsidRDefault="00BB45DC">
            <w:pPr>
              <w:rPr>
                <w:sz w:val="20"/>
                <w:szCs w:val="20"/>
              </w:rPr>
            </w:pPr>
            <w:r w:rsidRPr="00C2390B">
              <w:rPr>
                <w:sz w:val="20"/>
                <w:szCs w:val="20"/>
              </w:rPr>
              <w:t>90570-HR IFL FS - Projekt učinkovitog pravosuđa za bolje poslovno okruženje</w:t>
            </w:r>
          </w:p>
        </w:tc>
        <w:tc>
          <w:tcPr>
            <w:tcW w:w="782" w:type="dxa"/>
            <w:tcBorders>
              <w:top w:val="nil"/>
              <w:left w:val="nil"/>
              <w:bottom w:val="single" w:sz="4" w:space="0" w:color="auto"/>
              <w:right w:val="single" w:sz="4" w:space="0" w:color="auto"/>
            </w:tcBorders>
            <w:shd w:val="clear" w:color="auto" w:fill="auto"/>
            <w:noWrap/>
            <w:vAlign w:val="center"/>
            <w:hideMark/>
          </w:tcPr>
          <w:p w14:paraId="6A505E9D"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284A9D0E"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5177EAC4" w14:textId="77777777" w:rsidR="00BB45DC" w:rsidRPr="00C2390B" w:rsidRDefault="00BB45DC">
            <w:pPr>
              <w:jc w:val="right"/>
              <w:rPr>
                <w:sz w:val="20"/>
                <w:szCs w:val="20"/>
              </w:rPr>
            </w:pPr>
            <w:r w:rsidRPr="00C2390B">
              <w:rPr>
                <w:sz w:val="20"/>
                <w:szCs w:val="20"/>
              </w:rPr>
              <w:t>5.588.000,00</w:t>
            </w:r>
          </w:p>
        </w:tc>
        <w:tc>
          <w:tcPr>
            <w:tcW w:w="1660" w:type="dxa"/>
            <w:tcBorders>
              <w:top w:val="nil"/>
              <w:left w:val="nil"/>
              <w:bottom w:val="single" w:sz="4" w:space="0" w:color="auto"/>
              <w:right w:val="single" w:sz="4" w:space="0" w:color="auto"/>
            </w:tcBorders>
            <w:shd w:val="clear" w:color="auto" w:fill="auto"/>
            <w:noWrap/>
            <w:vAlign w:val="center"/>
            <w:hideMark/>
          </w:tcPr>
          <w:p w14:paraId="00764264" w14:textId="77777777" w:rsidR="00BB45DC" w:rsidRPr="00C2390B" w:rsidRDefault="00BB45DC">
            <w:pPr>
              <w:jc w:val="right"/>
              <w:rPr>
                <w:sz w:val="20"/>
                <w:szCs w:val="20"/>
              </w:rPr>
            </w:pPr>
            <w:r w:rsidRPr="00C2390B">
              <w:rPr>
                <w:sz w:val="20"/>
                <w:szCs w:val="20"/>
              </w:rPr>
              <w:t>42.005.945,96</w:t>
            </w:r>
          </w:p>
        </w:tc>
      </w:tr>
      <w:tr w:rsidR="00BB45DC" w:rsidRPr="00C2390B" w14:paraId="7558FA95"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76990CB" w14:textId="77777777" w:rsidR="00BB45DC" w:rsidRPr="00C2390B" w:rsidRDefault="00BB45DC">
            <w:pPr>
              <w:jc w:val="center"/>
              <w:rPr>
                <w:sz w:val="20"/>
                <w:szCs w:val="20"/>
              </w:rPr>
            </w:pPr>
            <w:r w:rsidRPr="00C2390B">
              <w:rPr>
                <w:sz w:val="20"/>
                <w:szCs w:val="20"/>
              </w:rPr>
              <w:t>40.</w:t>
            </w:r>
          </w:p>
        </w:tc>
        <w:tc>
          <w:tcPr>
            <w:tcW w:w="4212" w:type="dxa"/>
            <w:tcBorders>
              <w:top w:val="nil"/>
              <w:left w:val="nil"/>
              <w:bottom w:val="single" w:sz="4" w:space="0" w:color="auto"/>
              <w:right w:val="single" w:sz="4" w:space="0" w:color="auto"/>
            </w:tcBorders>
            <w:shd w:val="clear" w:color="auto" w:fill="auto"/>
            <w:vAlign w:val="center"/>
            <w:hideMark/>
          </w:tcPr>
          <w:p w14:paraId="27E4BA27" w14:textId="77777777" w:rsidR="00BB45DC" w:rsidRPr="00C2390B" w:rsidRDefault="00BB45DC">
            <w:pPr>
              <w:rPr>
                <w:sz w:val="20"/>
                <w:szCs w:val="20"/>
              </w:rPr>
            </w:pPr>
            <w:r w:rsidRPr="00C2390B">
              <w:rPr>
                <w:sz w:val="20"/>
                <w:szCs w:val="20"/>
              </w:rPr>
              <w:t>91270-HR IFL FS - Projekt oporavka nakon potresa i jačanja pripravnosti javnog zdravstva</w:t>
            </w:r>
          </w:p>
        </w:tc>
        <w:tc>
          <w:tcPr>
            <w:tcW w:w="782" w:type="dxa"/>
            <w:tcBorders>
              <w:top w:val="nil"/>
              <w:left w:val="nil"/>
              <w:bottom w:val="single" w:sz="4" w:space="0" w:color="auto"/>
              <w:right w:val="single" w:sz="4" w:space="0" w:color="auto"/>
            </w:tcBorders>
            <w:shd w:val="clear" w:color="auto" w:fill="auto"/>
            <w:noWrap/>
            <w:vAlign w:val="center"/>
            <w:hideMark/>
          </w:tcPr>
          <w:p w14:paraId="0CC62E22"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29E4782A"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3CE2A45F" w14:textId="77777777" w:rsidR="00BB45DC" w:rsidRPr="00C2390B" w:rsidRDefault="00BB45DC">
            <w:pPr>
              <w:jc w:val="right"/>
              <w:rPr>
                <w:sz w:val="20"/>
                <w:szCs w:val="20"/>
              </w:rPr>
            </w:pPr>
            <w:r w:rsidRPr="00C2390B">
              <w:rPr>
                <w:sz w:val="20"/>
                <w:szCs w:val="20"/>
              </w:rPr>
              <w:t>2.000.000,00</w:t>
            </w:r>
          </w:p>
        </w:tc>
        <w:tc>
          <w:tcPr>
            <w:tcW w:w="1660" w:type="dxa"/>
            <w:tcBorders>
              <w:top w:val="nil"/>
              <w:left w:val="nil"/>
              <w:bottom w:val="single" w:sz="4" w:space="0" w:color="auto"/>
              <w:right w:val="single" w:sz="4" w:space="0" w:color="auto"/>
            </w:tcBorders>
            <w:shd w:val="clear" w:color="auto" w:fill="auto"/>
            <w:noWrap/>
            <w:vAlign w:val="center"/>
            <w:hideMark/>
          </w:tcPr>
          <w:p w14:paraId="5DC8A46E" w14:textId="77777777" w:rsidR="00BB45DC" w:rsidRPr="00C2390B" w:rsidRDefault="00BB45DC">
            <w:pPr>
              <w:jc w:val="right"/>
              <w:rPr>
                <w:sz w:val="20"/>
                <w:szCs w:val="20"/>
              </w:rPr>
            </w:pPr>
            <w:r w:rsidRPr="00C2390B">
              <w:rPr>
                <w:sz w:val="20"/>
                <w:szCs w:val="20"/>
              </w:rPr>
              <w:t>15.034.340,00</w:t>
            </w:r>
          </w:p>
        </w:tc>
      </w:tr>
      <w:tr w:rsidR="00BB45DC" w:rsidRPr="00C2390B" w14:paraId="6B064A2D" w14:textId="77777777" w:rsidTr="00BB45DC">
        <w:trPr>
          <w:trHeight w:val="510"/>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192122C" w14:textId="77777777" w:rsidR="00BB45DC" w:rsidRPr="00C2390B" w:rsidRDefault="00BB45DC">
            <w:pPr>
              <w:jc w:val="center"/>
              <w:rPr>
                <w:sz w:val="20"/>
                <w:szCs w:val="20"/>
              </w:rPr>
            </w:pPr>
            <w:r w:rsidRPr="00C2390B">
              <w:rPr>
                <w:sz w:val="20"/>
                <w:szCs w:val="20"/>
              </w:rPr>
              <w:t>41.</w:t>
            </w:r>
          </w:p>
        </w:tc>
        <w:tc>
          <w:tcPr>
            <w:tcW w:w="4212" w:type="dxa"/>
            <w:tcBorders>
              <w:top w:val="nil"/>
              <w:left w:val="nil"/>
              <w:bottom w:val="single" w:sz="4" w:space="0" w:color="auto"/>
              <w:right w:val="single" w:sz="4" w:space="0" w:color="auto"/>
            </w:tcBorders>
            <w:shd w:val="clear" w:color="auto" w:fill="auto"/>
            <w:vAlign w:val="center"/>
            <w:hideMark/>
          </w:tcPr>
          <w:p w14:paraId="0BD01F7E" w14:textId="77777777" w:rsidR="00BB45DC" w:rsidRPr="00C2390B" w:rsidRDefault="00BB45DC">
            <w:pPr>
              <w:rPr>
                <w:sz w:val="20"/>
                <w:szCs w:val="20"/>
              </w:rPr>
            </w:pPr>
            <w:r w:rsidRPr="00C2390B">
              <w:rPr>
                <w:sz w:val="20"/>
                <w:szCs w:val="20"/>
              </w:rPr>
              <w:t>91350-HR IFL FS - Zajam za razvojnu politiku za odgovor na krizu i podršku oporavku</w:t>
            </w:r>
          </w:p>
        </w:tc>
        <w:tc>
          <w:tcPr>
            <w:tcW w:w="782" w:type="dxa"/>
            <w:tcBorders>
              <w:top w:val="nil"/>
              <w:left w:val="nil"/>
              <w:bottom w:val="single" w:sz="4" w:space="0" w:color="auto"/>
              <w:right w:val="single" w:sz="4" w:space="0" w:color="auto"/>
            </w:tcBorders>
            <w:shd w:val="clear" w:color="auto" w:fill="auto"/>
            <w:noWrap/>
            <w:vAlign w:val="center"/>
            <w:hideMark/>
          </w:tcPr>
          <w:p w14:paraId="4A54E1D7" w14:textId="77777777" w:rsidR="00BB45DC" w:rsidRPr="00C2390B" w:rsidRDefault="00BB45DC">
            <w:pPr>
              <w:jc w:val="center"/>
              <w:rPr>
                <w:sz w:val="20"/>
                <w:szCs w:val="20"/>
              </w:rPr>
            </w:pPr>
            <w:r w:rsidRPr="00C2390B">
              <w:rPr>
                <w:sz w:val="20"/>
                <w:szCs w:val="20"/>
              </w:rPr>
              <w:t>IBRD</w:t>
            </w:r>
          </w:p>
        </w:tc>
        <w:tc>
          <w:tcPr>
            <w:tcW w:w="747" w:type="dxa"/>
            <w:tcBorders>
              <w:top w:val="nil"/>
              <w:left w:val="nil"/>
              <w:bottom w:val="single" w:sz="4" w:space="0" w:color="auto"/>
              <w:right w:val="single" w:sz="4" w:space="0" w:color="auto"/>
            </w:tcBorders>
            <w:shd w:val="clear" w:color="auto" w:fill="auto"/>
            <w:noWrap/>
            <w:vAlign w:val="center"/>
            <w:hideMark/>
          </w:tcPr>
          <w:p w14:paraId="3568D05E" w14:textId="77777777" w:rsidR="00BB45DC" w:rsidRPr="00C2390B" w:rsidRDefault="00BB45DC">
            <w:pPr>
              <w:jc w:val="center"/>
              <w:rPr>
                <w:sz w:val="20"/>
                <w:szCs w:val="20"/>
              </w:rPr>
            </w:pPr>
            <w:r w:rsidRPr="00C2390B">
              <w:rPr>
                <w:sz w:val="20"/>
                <w:szCs w:val="20"/>
              </w:rPr>
              <w:t>EUR</w:t>
            </w:r>
          </w:p>
        </w:tc>
        <w:tc>
          <w:tcPr>
            <w:tcW w:w="1586" w:type="dxa"/>
            <w:tcBorders>
              <w:top w:val="nil"/>
              <w:left w:val="nil"/>
              <w:bottom w:val="single" w:sz="4" w:space="0" w:color="auto"/>
              <w:right w:val="single" w:sz="4" w:space="0" w:color="auto"/>
            </w:tcBorders>
            <w:shd w:val="clear" w:color="auto" w:fill="auto"/>
            <w:noWrap/>
            <w:vAlign w:val="center"/>
            <w:hideMark/>
          </w:tcPr>
          <w:p w14:paraId="110E8922" w14:textId="77777777" w:rsidR="00BB45DC" w:rsidRPr="00C2390B" w:rsidRDefault="00BB45DC">
            <w:pPr>
              <w:jc w:val="right"/>
              <w:rPr>
                <w:sz w:val="20"/>
                <w:szCs w:val="20"/>
              </w:rPr>
            </w:pPr>
            <w:r w:rsidRPr="00C2390B">
              <w:rPr>
                <w:sz w:val="20"/>
                <w:szCs w:val="20"/>
              </w:rPr>
              <w:t>275.900.000,00</w:t>
            </w:r>
          </w:p>
        </w:tc>
        <w:tc>
          <w:tcPr>
            <w:tcW w:w="1660" w:type="dxa"/>
            <w:tcBorders>
              <w:top w:val="nil"/>
              <w:left w:val="nil"/>
              <w:bottom w:val="single" w:sz="4" w:space="0" w:color="auto"/>
              <w:right w:val="single" w:sz="4" w:space="0" w:color="auto"/>
            </w:tcBorders>
            <w:shd w:val="clear" w:color="auto" w:fill="auto"/>
            <w:noWrap/>
            <w:vAlign w:val="center"/>
            <w:hideMark/>
          </w:tcPr>
          <w:p w14:paraId="75AF8ECD" w14:textId="77777777" w:rsidR="00BB45DC" w:rsidRPr="00C2390B" w:rsidRDefault="00BB45DC">
            <w:pPr>
              <w:jc w:val="right"/>
              <w:rPr>
                <w:sz w:val="20"/>
                <w:szCs w:val="20"/>
              </w:rPr>
            </w:pPr>
            <w:r w:rsidRPr="00C2390B">
              <w:rPr>
                <w:sz w:val="20"/>
                <w:szCs w:val="20"/>
              </w:rPr>
              <w:t>2.073.987.203,00</w:t>
            </w:r>
          </w:p>
        </w:tc>
      </w:tr>
      <w:tr w:rsidR="00BB45DC" w:rsidRPr="00C2390B" w14:paraId="74BA6817" w14:textId="77777777" w:rsidTr="00BB45DC">
        <w:trPr>
          <w:trHeight w:val="315"/>
          <w:jc w:val="center"/>
        </w:trPr>
        <w:tc>
          <w:tcPr>
            <w:tcW w:w="5125"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6B589C5A" w14:textId="77777777" w:rsidR="00BB45DC" w:rsidRPr="00C2390B" w:rsidRDefault="00BB45DC">
            <w:pPr>
              <w:rPr>
                <w:b/>
                <w:bCs/>
                <w:sz w:val="20"/>
                <w:szCs w:val="20"/>
              </w:rPr>
            </w:pPr>
            <w:r w:rsidRPr="00C2390B">
              <w:rPr>
                <w:b/>
                <w:bCs/>
                <w:sz w:val="20"/>
                <w:szCs w:val="20"/>
              </w:rPr>
              <w:t>UKUPNO</w:t>
            </w:r>
          </w:p>
        </w:tc>
        <w:tc>
          <w:tcPr>
            <w:tcW w:w="782" w:type="dxa"/>
            <w:tcBorders>
              <w:top w:val="double" w:sz="6" w:space="0" w:color="auto"/>
              <w:left w:val="nil"/>
              <w:bottom w:val="double" w:sz="6" w:space="0" w:color="auto"/>
              <w:right w:val="double" w:sz="6" w:space="0" w:color="auto"/>
            </w:tcBorders>
            <w:shd w:val="clear" w:color="auto" w:fill="auto"/>
            <w:noWrap/>
            <w:vAlign w:val="center"/>
            <w:hideMark/>
          </w:tcPr>
          <w:p w14:paraId="41731A36" w14:textId="77777777" w:rsidR="00BB45DC" w:rsidRPr="00C2390B" w:rsidRDefault="00BB45DC">
            <w:pPr>
              <w:jc w:val="center"/>
              <w:rPr>
                <w:b/>
                <w:bCs/>
                <w:sz w:val="20"/>
                <w:szCs w:val="20"/>
              </w:rPr>
            </w:pPr>
            <w:r w:rsidRPr="00C2390B">
              <w:rPr>
                <w:b/>
                <w:bCs/>
                <w:sz w:val="20"/>
                <w:szCs w:val="20"/>
              </w:rPr>
              <w:t>IBRD</w:t>
            </w:r>
          </w:p>
        </w:tc>
        <w:tc>
          <w:tcPr>
            <w:tcW w:w="747" w:type="dxa"/>
            <w:tcBorders>
              <w:top w:val="double" w:sz="6" w:space="0" w:color="auto"/>
              <w:left w:val="nil"/>
              <w:bottom w:val="double" w:sz="6" w:space="0" w:color="auto"/>
              <w:right w:val="double" w:sz="6" w:space="0" w:color="auto"/>
            </w:tcBorders>
            <w:shd w:val="clear" w:color="auto" w:fill="auto"/>
            <w:noWrap/>
            <w:vAlign w:val="center"/>
            <w:hideMark/>
          </w:tcPr>
          <w:p w14:paraId="77C16AA5" w14:textId="77777777" w:rsidR="00BB45DC" w:rsidRPr="00C2390B" w:rsidRDefault="00BB45DC">
            <w:pPr>
              <w:jc w:val="center"/>
              <w:rPr>
                <w:b/>
                <w:bCs/>
                <w:sz w:val="20"/>
                <w:szCs w:val="20"/>
              </w:rPr>
            </w:pPr>
            <w:r w:rsidRPr="00C2390B">
              <w:rPr>
                <w:b/>
                <w:bCs/>
                <w:sz w:val="20"/>
                <w:szCs w:val="20"/>
              </w:rPr>
              <w:t>EUR</w:t>
            </w:r>
          </w:p>
        </w:tc>
        <w:tc>
          <w:tcPr>
            <w:tcW w:w="1586" w:type="dxa"/>
            <w:tcBorders>
              <w:top w:val="double" w:sz="6" w:space="0" w:color="auto"/>
              <w:left w:val="nil"/>
              <w:bottom w:val="double" w:sz="6" w:space="0" w:color="auto"/>
              <w:right w:val="double" w:sz="6" w:space="0" w:color="auto"/>
            </w:tcBorders>
            <w:shd w:val="clear" w:color="auto" w:fill="auto"/>
            <w:noWrap/>
            <w:vAlign w:val="center"/>
            <w:hideMark/>
          </w:tcPr>
          <w:p w14:paraId="522544C2" w14:textId="77777777" w:rsidR="00BB45DC" w:rsidRPr="00C2390B" w:rsidRDefault="00BB45DC">
            <w:pPr>
              <w:jc w:val="right"/>
              <w:rPr>
                <w:b/>
                <w:bCs/>
                <w:sz w:val="20"/>
                <w:szCs w:val="20"/>
              </w:rPr>
            </w:pPr>
            <w:r w:rsidRPr="00C2390B">
              <w:rPr>
                <w:b/>
                <w:bCs/>
                <w:sz w:val="20"/>
                <w:szCs w:val="20"/>
              </w:rPr>
              <w:t>942.431.869,19</w:t>
            </w:r>
          </w:p>
        </w:tc>
        <w:tc>
          <w:tcPr>
            <w:tcW w:w="1660" w:type="dxa"/>
            <w:tcBorders>
              <w:top w:val="double" w:sz="6" w:space="0" w:color="auto"/>
              <w:left w:val="nil"/>
              <w:bottom w:val="double" w:sz="6" w:space="0" w:color="auto"/>
              <w:right w:val="double" w:sz="6" w:space="0" w:color="auto"/>
            </w:tcBorders>
            <w:shd w:val="clear" w:color="auto" w:fill="auto"/>
            <w:noWrap/>
            <w:vAlign w:val="center"/>
            <w:hideMark/>
          </w:tcPr>
          <w:p w14:paraId="7ACBBA63" w14:textId="77777777" w:rsidR="00BB45DC" w:rsidRPr="00C2390B" w:rsidRDefault="00BB45DC">
            <w:pPr>
              <w:jc w:val="right"/>
              <w:rPr>
                <w:b/>
                <w:bCs/>
                <w:sz w:val="20"/>
                <w:szCs w:val="20"/>
              </w:rPr>
            </w:pPr>
            <w:r w:rsidRPr="00C2390B">
              <w:rPr>
                <w:b/>
                <w:bCs/>
                <w:sz w:val="20"/>
                <w:szCs w:val="20"/>
              </w:rPr>
              <w:t>7.084.420.574,12</w:t>
            </w:r>
          </w:p>
        </w:tc>
      </w:tr>
      <w:tr w:rsidR="00BB45DC" w:rsidRPr="00C2390B" w14:paraId="4DA95DFC" w14:textId="77777777" w:rsidTr="00BB45DC">
        <w:trPr>
          <w:trHeight w:val="255"/>
          <w:jc w:val="center"/>
        </w:trPr>
        <w:tc>
          <w:tcPr>
            <w:tcW w:w="913" w:type="dxa"/>
            <w:tcBorders>
              <w:top w:val="nil"/>
              <w:left w:val="nil"/>
              <w:bottom w:val="nil"/>
              <w:right w:val="nil"/>
            </w:tcBorders>
            <w:shd w:val="clear" w:color="auto" w:fill="auto"/>
            <w:noWrap/>
            <w:vAlign w:val="center"/>
            <w:hideMark/>
          </w:tcPr>
          <w:p w14:paraId="2E382B93" w14:textId="77777777" w:rsidR="00BB45DC" w:rsidRPr="00C2390B" w:rsidRDefault="00BB45DC">
            <w:pPr>
              <w:jc w:val="center"/>
              <w:rPr>
                <w:b/>
                <w:bCs/>
                <w:sz w:val="20"/>
                <w:szCs w:val="20"/>
              </w:rPr>
            </w:pPr>
            <w:r w:rsidRPr="00C2390B">
              <w:rPr>
                <w:b/>
                <w:bCs/>
                <w:sz w:val="20"/>
                <w:szCs w:val="20"/>
              </w:rPr>
              <w:t> </w:t>
            </w:r>
          </w:p>
        </w:tc>
        <w:tc>
          <w:tcPr>
            <w:tcW w:w="4212" w:type="dxa"/>
            <w:tcBorders>
              <w:top w:val="nil"/>
              <w:left w:val="nil"/>
              <w:bottom w:val="nil"/>
              <w:right w:val="nil"/>
            </w:tcBorders>
            <w:shd w:val="clear" w:color="auto" w:fill="auto"/>
            <w:noWrap/>
            <w:vAlign w:val="center"/>
            <w:hideMark/>
          </w:tcPr>
          <w:p w14:paraId="3BEC6B90" w14:textId="77777777" w:rsidR="00BB45DC" w:rsidRPr="00C2390B" w:rsidRDefault="00BB45DC">
            <w:pPr>
              <w:jc w:val="center"/>
              <w:rPr>
                <w:b/>
                <w:bCs/>
                <w:sz w:val="20"/>
                <w:szCs w:val="20"/>
              </w:rPr>
            </w:pPr>
          </w:p>
        </w:tc>
        <w:tc>
          <w:tcPr>
            <w:tcW w:w="782" w:type="dxa"/>
            <w:tcBorders>
              <w:top w:val="nil"/>
              <w:left w:val="nil"/>
              <w:bottom w:val="nil"/>
              <w:right w:val="nil"/>
            </w:tcBorders>
            <w:shd w:val="clear" w:color="auto" w:fill="auto"/>
            <w:noWrap/>
            <w:vAlign w:val="center"/>
            <w:hideMark/>
          </w:tcPr>
          <w:p w14:paraId="77E73FE3" w14:textId="77777777" w:rsidR="00BB45DC" w:rsidRPr="00C2390B" w:rsidRDefault="00BB45DC">
            <w:pPr>
              <w:rPr>
                <w:sz w:val="20"/>
                <w:szCs w:val="20"/>
              </w:rPr>
            </w:pPr>
          </w:p>
        </w:tc>
        <w:tc>
          <w:tcPr>
            <w:tcW w:w="747" w:type="dxa"/>
            <w:tcBorders>
              <w:top w:val="nil"/>
              <w:left w:val="nil"/>
              <w:bottom w:val="nil"/>
              <w:right w:val="nil"/>
            </w:tcBorders>
            <w:shd w:val="clear" w:color="auto" w:fill="auto"/>
            <w:noWrap/>
            <w:vAlign w:val="center"/>
            <w:hideMark/>
          </w:tcPr>
          <w:p w14:paraId="7D8AD9BA" w14:textId="77777777" w:rsidR="00BB45DC" w:rsidRPr="00C2390B" w:rsidRDefault="00BB45DC">
            <w:pPr>
              <w:jc w:val="center"/>
              <w:rPr>
                <w:sz w:val="20"/>
                <w:szCs w:val="20"/>
              </w:rPr>
            </w:pPr>
          </w:p>
        </w:tc>
        <w:tc>
          <w:tcPr>
            <w:tcW w:w="1586" w:type="dxa"/>
            <w:tcBorders>
              <w:top w:val="nil"/>
              <w:left w:val="nil"/>
              <w:bottom w:val="nil"/>
              <w:right w:val="nil"/>
            </w:tcBorders>
            <w:shd w:val="clear" w:color="auto" w:fill="auto"/>
            <w:noWrap/>
            <w:vAlign w:val="center"/>
            <w:hideMark/>
          </w:tcPr>
          <w:p w14:paraId="52CFB4EC" w14:textId="77777777" w:rsidR="00BB45DC" w:rsidRPr="00C2390B" w:rsidRDefault="00BB45DC">
            <w:pPr>
              <w:jc w:val="center"/>
              <w:rPr>
                <w:sz w:val="20"/>
                <w:szCs w:val="20"/>
              </w:rPr>
            </w:pPr>
          </w:p>
        </w:tc>
        <w:tc>
          <w:tcPr>
            <w:tcW w:w="1660" w:type="dxa"/>
            <w:tcBorders>
              <w:top w:val="nil"/>
              <w:left w:val="nil"/>
              <w:bottom w:val="nil"/>
              <w:right w:val="nil"/>
            </w:tcBorders>
            <w:shd w:val="clear" w:color="auto" w:fill="auto"/>
            <w:noWrap/>
            <w:vAlign w:val="center"/>
            <w:hideMark/>
          </w:tcPr>
          <w:p w14:paraId="055CA16C" w14:textId="77777777" w:rsidR="00BB45DC" w:rsidRPr="00C2390B" w:rsidRDefault="00BB45DC">
            <w:pPr>
              <w:jc w:val="right"/>
              <w:rPr>
                <w:sz w:val="20"/>
                <w:szCs w:val="20"/>
              </w:rPr>
            </w:pPr>
          </w:p>
        </w:tc>
      </w:tr>
      <w:tr w:rsidR="00BB45DC" w14:paraId="4484096E" w14:textId="77777777" w:rsidTr="00BB45DC">
        <w:trPr>
          <w:trHeight w:val="315"/>
          <w:jc w:val="center"/>
        </w:trPr>
        <w:tc>
          <w:tcPr>
            <w:tcW w:w="5907"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5877DC3" w14:textId="77777777" w:rsidR="00BB45DC" w:rsidRPr="00C2390B" w:rsidRDefault="00BB45DC">
            <w:pPr>
              <w:rPr>
                <w:b/>
                <w:bCs/>
                <w:sz w:val="20"/>
                <w:szCs w:val="20"/>
              </w:rPr>
            </w:pPr>
            <w:r w:rsidRPr="00C2390B">
              <w:rPr>
                <w:b/>
                <w:bCs/>
                <w:sz w:val="20"/>
                <w:szCs w:val="20"/>
              </w:rPr>
              <w:t>SVEUKUPNO</w:t>
            </w:r>
          </w:p>
        </w:tc>
        <w:tc>
          <w:tcPr>
            <w:tcW w:w="747" w:type="dxa"/>
            <w:tcBorders>
              <w:top w:val="single" w:sz="12" w:space="0" w:color="auto"/>
              <w:left w:val="nil"/>
              <w:bottom w:val="single" w:sz="12" w:space="0" w:color="auto"/>
              <w:right w:val="single" w:sz="12" w:space="0" w:color="auto"/>
            </w:tcBorders>
            <w:shd w:val="clear" w:color="auto" w:fill="auto"/>
            <w:noWrap/>
            <w:vAlign w:val="center"/>
            <w:hideMark/>
          </w:tcPr>
          <w:p w14:paraId="69F08D49" w14:textId="77777777" w:rsidR="00BB45DC" w:rsidRPr="00C2390B" w:rsidRDefault="00BB45DC">
            <w:pPr>
              <w:jc w:val="center"/>
              <w:rPr>
                <w:b/>
                <w:bCs/>
                <w:sz w:val="20"/>
                <w:szCs w:val="20"/>
              </w:rPr>
            </w:pPr>
            <w:r w:rsidRPr="00C2390B">
              <w:rPr>
                <w:b/>
                <w:bCs/>
                <w:sz w:val="20"/>
                <w:szCs w:val="20"/>
              </w:rPr>
              <w:t>EUR</w:t>
            </w:r>
          </w:p>
        </w:tc>
        <w:tc>
          <w:tcPr>
            <w:tcW w:w="1586" w:type="dxa"/>
            <w:tcBorders>
              <w:top w:val="single" w:sz="12" w:space="0" w:color="auto"/>
              <w:left w:val="nil"/>
              <w:bottom w:val="single" w:sz="12" w:space="0" w:color="auto"/>
              <w:right w:val="single" w:sz="12" w:space="0" w:color="auto"/>
            </w:tcBorders>
            <w:shd w:val="clear" w:color="auto" w:fill="auto"/>
            <w:noWrap/>
            <w:vAlign w:val="center"/>
            <w:hideMark/>
          </w:tcPr>
          <w:p w14:paraId="4C6915A4" w14:textId="77777777" w:rsidR="00BB45DC" w:rsidRPr="00C2390B" w:rsidRDefault="00BB45DC">
            <w:pPr>
              <w:jc w:val="right"/>
              <w:rPr>
                <w:b/>
                <w:bCs/>
                <w:sz w:val="20"/>
                <w:szCs w:val="20"/>
              </w:rPr>
            </w:pPr>
            <w:r w:rsidRPr="00C2390B">
              <w:rPr>
                <w:b/>
                <w:bCs/>
                <w:sz w:val="20"/>
                <w:szCs w:val="20"/>
              </w:rPr>
              <w:t>1.182.921.678,00</w:t>
            </w:r>
          </w:p>
        </w:tc>
        <w:tc>
          <w:tcPr>
            <w:tcW w:w="1660" w:type="dxa"/>
            <w:tcBorders>
              <w:top w:val="single" w:sz="12" w:space="0" w:color="auto"/>
              <w:left w:val="nil"/>
              <w:bottom w:val="single" w:sz="12" w:space="0" w:color="auto"/>
              <w:right w:val="single" w:sz="12" w:space="0" w:color="auto"/>
            </w:tcBorders>
            <w:shd w:val="clear" w:color="auto" w:fill="auto"/>
            <w:noWrap/>
            <w:vAlign w:val="center"/>
            <w:hideMark/>
          </w:tcPr>
          <w:p w14:paraId="76701289" w14:textId="77777777" w:rsidR="00BB45DC" w:rsidRDefault="00BB45DC">
            <w:pPr>
              <w:jc w:val="right"/>
              <w:rPr>
                <w:b/>
                <w:bCs/>
                <w:sz w:val="20"/>
                <w:szCs w:val="20"/>
              </w:rPr>
            </w:pPr>
            <w:r w:rsidRPr="00C2390B">
              <w:rPr>
                <w:b/>
                <w:bCs/>
                <w:sz w:val="20"/>
                <w:szCs w:val="20"/>
              </w:rPr>
              <w:t>8.892.223.350,21</w:t>
            </w:r>
          </w:p>
        </w:tc>
      </w:tr>
    </w:tbl>
    <w:p w14:paraId="70111707" w14:textId="6A1EF3B7" w:rsidR="007C376F" w:rsidRDefault="007C376F" w:rsidP="00B74A4C">
      <w:pPr>
        <w:keepNext/>
        <w:jc w:val="both"/>
        <w:rPr>
          <w:b/>
          <w:sz w:val="20"/>
          <w:szCs w:val="20"/>
          <w:highlight w:val="red"/>
        </w:rPr>
      </w:pPr>
    </w:p>
    <w:p w14:paraId="518BF79F" w14:textId="2BF4EBFC" w:rsidR="00BA448F" w:rsidRPr="003B30B6" w:rsidRDefault="00BA448F" w:rsidP="00237246">
      <w:pPr>
        <w:rPr>
          <w:bCs/>
        </w:rPr>
      </w:pPr>
    </w:p>
    <w:p w14:paraId="01A76AA1" w14:textId="1EB31B5B" w:rsidR="00187157" w:rsidRPr="00C2390B" w:rsidRDefault="00C85DCC" w:rsidP="00187157">
      <w:pPr>
        <w:jc w:val="center"/>
        <w:rPr>
          <w:bCs/>
          <w:sz w:val="28"/>
          <w:szCs w:val="28"/>
        </w:rPr>
      </w:pPr>
      <w:r>
        <w:rPr>
          <w:bCs/>
          <w:sz w:val="28"/>
          <w:szCs w:val="28"/>
        </w:rPr>
        <w:t>Bi</w:t>
      </w:r>
      <w:r w:rsidR="00ED1991">
        <w:rPr>
          <w:bCs/>
          <w:sz w:val="28"/>
          <w:szCs w:val="28"/>
        </w:rPr>
        <w:t>lješka 27</w:t>
      </w:r>
      <w:r w:rsidR="00187157" w:rsidRPr="00C2390B">
        <w:rPr>
          <w:bCs/>
          <w:sz w:val="28"/>
          <w:szCs w:val="28"/>
        </w:rPr>
        <w:t xml:space="preserve">. </w:t>
      </w:r>
    </w:p>
    <w:p w14:paraId="0EB24A21" w14:textId="494FA4EC" w:rsidR="00187157" w:rsidRPr="00C2390B" w:rsidRDefault="00187157" w:rsidP="00187157">
      <w:pPr>
        <w:jc w:val="center"/>
        <w:rPr>
          <w:bCs/>
          <w:sz w:val="28"/>
          <w:szCs w:val="28"/>
        </w:rPr>
      </w:pPr>
      <w:r w:rsidRPr="00C2390B">
        <w:rPr>
          <w:bCs/>
          <w:sz w:val="28"/>
          <w:szCs w:val="28"/>
        </w:rPr>
        <w:t>AO</w:t>
      </w:r>
      <w:r w:rsidR="00E8297D" w:rsidRPr="00C2390B">
        <w:rPr>
          <w:bCs/>
          <w:sz w:val="28"/>
          <w:szCs w:val="28"/>
        </w:rPr>
        <w:t>P 220</w:t>
      </w:r>
      <w:r w:rsidRPr="00C2390B">
        <w:rPr>
          <w:bCs/>
          <w:sz w:val="28"/>
          <w:szCs w:val="28"/>
        </w:rPr>
        <w:t xml:space="preserve"> Obveza za kredite i zajmove od institucija i tijela EU</w:t>
      </w:r>
    </w:p>
    <w:p w14:paraId="68D28AD6" w14:textId="3BFF9DB0" w:rsidR="00187157" w:rsidRPr="00C2390B" w:rsidRDefault="00E25B5C" w:rsidP="00187157">
      <w:pPr>
        <w:jc w:val="both"/>
        <w:rPr>
          <w:bCs/>
          <w:szCs w:val="28"/>
        </w:rPr>
      </w:pPr>
      <w:r>
        <w:rPr>
          <w:bCs/>
          <w:szCs w:val="28"/>
        </w:rPr>
        <w:t>Na dan 31. prosinca 2021. stanje obveza u i</w:t>
      </w:r>
      <w:r w:rsidR="00187157" w:rsidRPr="00C2390B">
        <w:rPr>
          <w:bCs/>
          <w:szCs w:val="28"/>
        </w:rPr>
        <w:t>znos</w:t>
      </w:r>
      <w:r>
        <w:rPr>
          <w:bCs/>
          <w:szCs w:val="28"/>
        </w:rPr>
        <w:t>u</w:t>
      </w:r>
      <w:r w:rsidR="00187157" w:rsidRPr="00C2390B">
        <w:rPr>
          <w:bCs/>
          <w:szCs w:val="28"/>
        </w:rPr>
        <w:t xml:space="preserve"> od </w:t>
      </w:r>
      <w:r w:rsidR="00706A40" w:rsidRPr="00C2390B">
        <w:rPr>
          <w:bCs/>
          <w:szCs w:val="28"/>
        </w:rPr>
        <w:t xml:space="preserve">12.542.029.309 </w:t>
      </w:r>
      <w:r w:rsidR="00FE019C" w:rsidRPr="00C2390B">
        <w:rPr>
          <w:bCs/>
        </w:rPr>
        <w:t>kune</w:t>
      </w:r>
      <w:r w:rsidR="00187157" w:rsidRPr="00C2390B">
        <w:rPr>
          <w:bCs/>
          <w:szCs w:val="28"/>
        </w:rPr>
        <w:t xml:space="preserve"> odnosi se na </w:t>
      </w:r>
      <w:r>
        <w:rPr>
          <w:bCs/>
          <w:szCs w:val="28"/>
        </w:rPr>
        <w:t xml:space="preserve">stanje </w:t>
      </w:r>
      <w:r w:rsidR="00187157" w:rsidRPr="00C2390B">
        <w:rPr>
          <w:bCs/>
          <w:szCs w:val="28"/>
        </w:rPr>
        <w:t>obveze za zajmove Eur</w:t>
      </w:r>
      <w:r w:rsidR="00706A40" w:rsidRPr="00C2390B">
        <w:rPr>
          <w:bCs/>
          <w:szCs w:val="28"/>
        </w:rPr>
        <w:t xml:space="preserve">opske investicijske banke (EIB) i privremene potpore Europske komisije radi smanjenja rizika od nezaposlenosti u izvanrednoj situaciji nakon izbijanja bolesti COVID-19 (SURE). </w:t>
      </w:r>
      <w:r w:rsidR="00187157" w:rsidRPr="00C2390B">
        <w:rPr>
          <w:bCs/>
          <w:szCs w:val="28"/>
        </w:rPr>
        <w:t>Analitički prikaz o</w:t>
      </w:r>
      <w:r w:rsidR="00C85DCC">
        <w:rPr>
          <w:bCs/>
          <w:szCs w:val="28"/>
        </w:rPr>
        <w:t>vih zajmova daje se u Tablici 15</w:t>
      </w:r>
      <w:r w:rsidR="00187157" w:rsidRPr="00C2390B">
        <w:rPr>
          <w:bCs/>
          <w:szCs w:val="28"/>
        </w:rPr>
        <w:t xml:space="preserve">. </w:t>
      </w:r>
    </w:p>
    <w:p w14:paraId="70251795" w14:textId="77777777" w:rsidR="00187157" w:rsidRPr="00C2390B" w:rsidRDefault="00187157" w:rsidP="00187157">
      <w:pPr>
        <w:jc w:val="center"/>
        <w:rPr>
          <w:bCs/>
        </w:rPr>
      </w:pPr>
    </w:p>
    <w:p w14:paraId="3A822140" w14:textId="3C2340CF" w:rsidR="00706A40" w:rsidRPr="00C2390B" w:rsidRDefault="00ED1991" w:rsidP="00187157">
      <w:pPr>
        <w:keepNext/>
        <w:jc w:val="both"/>
        <w:rPr>
          <w:b/>
          <w:sz w:val="20"/>
          <w:szCs w:val="20"/>
        </w:rPr>
      </w:pPr>
      <w:r>
        <w:rPr>
          <w:b/>
          <w:sz w:val="20"/>
          <w:szCs w:val="20"/>
        </w:rPr>
        <w:t>Tablica 15</w:t>
      </w:r>
      <w:r w:rsidR="00187157" w:rsidRPr="00C2390B">
        <w:rPr>
          <w:b/>
          <w:sz w:val="20"/>
          <w:szCs w:val="20"/>
        </w:rPr>
        <w:t xml:space="preserve">. </w:t>
      </w:r>
    </w:p>
    <w:tbl>
      <w:tblPr>
        <w:tblW w:w="9900" w:type="dxa"/>
        <w:jc w:val="center"/>
        <w:tblLook w:val="04A0" w:firstRow="1" w:lastRow="0" w:firstColumn="1" w:lastColumn="0" w:noHBand="0" w:noVBand="1"/>
      </w:tblPr>
      <w:tblGrid>
        <w:gridCol w:w="611"/>
        <w:gridCol w:w="4480"/>
        <w:gridCol w:w="800"/>
        <w:gridCol w:w="794"/>
        <w:gridCol w:w="1616"/>
        <w:gridCol w:w="1716"/>
      </w:tblGrid>
      <w:tr w:rsidR="00706A40" w:rsidRPr="007F2D4C" w14:paraId="43392262" w14:textId="77777777" w:rsidTr="00706A40">
        <w:trPr>
          <w:trHeight w:val="76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725A" w14:textId="77777777" w:rsidR="00706A40" w:rsidRPr="007F2D4C" w:rsidRDefault="00706A40">
            <w:pPr>
              <w:jc w:val="center"/>
              <w:rPr>
                <w:b/>
                <w:bCs/>
                <w:sz w:val="20"/>
                <w:szCs w:val="20"/>
              </w:rPr>
            </w:pPr>
            <w:r w:rsidRPr="007F2D4C">
              <w:rPr>
                <w:b/>
                <w:bCs/>
                <w:sz w:val="20"/>
                <w:szCs w:val="20"/>
              </w:rPr>
              <w:t>Red. broj</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03ACA1AB" w14:textId="77777777" w:rsidR="00706A40" w:rsidRPr="007F2D4C" w:rsidRDefault="00706A40">
            <w:pPr>
              <w:jc w:val="center"/>
              <w:rPr>
                <w:b/>
                <w:bCs/>
                <w:sz w:val="20"/>
                <w:szCs w:val="20"/>
              </w:rPr>
            </w:pPr>
            <w:r w:rsidRPr="007F2D4C">
              <w:rPr>
                <w:b/>
                <w:bCs/>
                <w:sz w:val="20"/>
                <w:szCs w:val="20"/>
              </w:rPr>
              <w:t>Namjena</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0C2CEBA" w14:textId="77777777" w:rsidR="00706A40" w:rsidRPr="007F2D4C" w:rsidRDefault="00706A40">
            <w:pPr>
              <w:jc w:val="center"/>
              <w:rPr>
                <w:b/>
                <w:bCs/>
                <w:sz w:val="20"/>
                <w:szCs w:val="20"/>
              </w:rPr>
            </w:pPr>
            <w:r w:rsidRPr="007F2D4C">
              <w:rPr>
                <w:b/>
                <w:bCs/>
                <w:sz w:val="20"/>
                <w:szCs w:val="20"/>
              </w:rPr>
              <w:t>Banka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C81727D" w14:textId="77777777" w:rsidR="00706A40" w:rsidRPr="007F2D4C" w:rsidRDefault="00706A40">
            <w:pPr>
              <w:jc w:val="center"/>
              <w:rPr>
                <w:b/>
                <w:bCs/>
                <w:sz w:val="20"/>
                <w:szCs w:val="20"/>
              </w:rPr>
            </w:pPr>
            <w:r w:rsidRPr="007F2D4C">
              <w:rPr>
                <w:b/>
                <w:bCs/>
                <w:sz w:val="20"/>
                <w:szCs w:val="20"/>
              </w:rPr>
              <w:t>Valuta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D11F2BD" w14:textId="77777777" w:rsidR="00706A40" w:rsidRPr="007F2D4C" w:rsidRDefault="00706A40">
            <w:pPr>
              <w:jc w:val="center"/>
              <w:rPr>
                <w:b/>
                <w:bCs/>
                <w:sz w:val="20"/>
                <w:szCs w:val="20"/>
              </w:rPr>
            </w:pPr>
            <w:r w:rsidRPr="007F2D4C">
              <w:rPr>
                <w:b/>
                <w:bCs/>
                <w:sz w:val="20"/>
                <w:szCs w:val="20"/>
              </w:rPr>
              <w:t>Stanje obveza na dan 31.12.2021.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49A0185" w14:textId="77777777" w:rsidR="00706A40" w:rsidRPr="007F2D4C" w:rsidRDefault="00706A40">
            <w:pPr>
              <w:jc w:val="center"/>
              <w:rPr>
                <w:b/>
                <w:bCs/>
                <w:sz w:val="20"/>
                <w:szCs w:val="20"/>
              </w:rPr>
            </w:pPr>
            <w:r w:rsidRPr="007F2D4C">
              <w:rPr>
                <w:b/>
                <w:bCs/>
                <w:sz w:val="20"/>
                <w:szCs w:val="20"/>
              </w:rPr>
              <w:t>Stanje obveza na 31.12.2021.              u kunama</w:t>
            </w:r>
          </w:p>
        </w:tc>
      </w:tr>
      <w:tr w:rsidR="00706A40" w:rsidRPr="007F2D4C" w14:paraId="1757C1C9" w14:textId="77777777" w:rsidTr="00706A40">
        <w:trPr>
          <w:trHeight w:val="7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E8E5FE" w14:textId="77777777" w:rsidR="00706A40" w:rsidRPr="007F2D4C" w:rsidRDefault="00706A40">
            <w:pPr>
              <w:jc w:val="center"/>
              <w:rPr>
                <w:sz w:val="20"/>
                <w:szCs w:val="20"/>
              </w:rPr>
            </w:pPr>
            <w:r w:rsidRPr="007F2D4C">
              <w:rPr>
                <w:sz w:val="20"/>
                <w:szCs w:val="20"/>
              </w:rPr>
              <w:t>1.</w:t>
            </w:r>
          </w:p>
        </w:tc>
        <w:tc>
          <w:tcPr>
            <w:tcW w:w="4480" w:type="dxa"/>
            <w:tcBorders>
              <w:top w:val="nil"/>
              <w:left w:val="nil"/>
              <w:bottom w:val="single" w:sz="4" w:space="0" w:color="auto"/>
              <w:right w:val="single" w:sz="4" w:space="0" w:color="auto"/>
            </w:tcBorders>
            <w:shd w:val="clear" w:color="auto" w:fill="auto"/>
            <w:vAlign w:val="center"/>
            <w:hideMark/>
          </w:tcPr>
          <w:p w14:paraId="5ECBF353"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22.165 - Projekt "Obnove komunalne infrastrukture na područjima od posebne državne skrbi" (5 tranši)</w:t>
            </w:r>
          </w:p>
        </w:tc>
        <w:tc>
          <w:tcPr>
            <w:tcW w:w="800" w:type="dxa"/>
            <w:tcBorders>
              <w:top w:val="nil"/>
              <w:left w:val="nil"/>
              <w:bottom w:val="single" w:sz="4" w:space="0" w:color="auto"/>
              <w:right w:val="single" w:sz="4" w:space="0" w:color="auto"/>
            </w:tcBorders>
            <w:shd w:val="clear" w:color="auto" w:fill="auto"/>
            <w:noWrap/>
            <w:vAlign w:val="center"/>
            <w:hideMark/>
          </w:tcPr>
          <w:p w14:paraId="51429DE1"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03AFB2B5"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066787CC" w14:textId="77777777" w:rsidR="00706A40" w:rsidRPr="007F2D4C" w:rsidRDefault="00706A40">
            <w:pPr>
              <w:jc w:val="right"/>
              <w:rPr>
                <w:sz w:val="20"/>
                <w:szCs w:val="20"/>
              </w:rPr>
            </w:pPr>
            <w:r w:rsidRPr="007F2D4C">
              <w:rPr>
                <w:sz w:val="20"/>
                <w:szCs w:val="20"/>
              </w:rPr>
              <w:t>14.930.226,24</w:t>
            </w:r>
          </w:p>
        </w:tc>
        <w:tc>
          <w:tcPr>
            <w:tcW w:w="1680" w:type="dxa"/>
            <w:tcBorders>
              <w:top w:val="nil"/>
              <w:left w:val="nil"/>
              <w:bottom w:val="single" w:sz="4" w:space="0" w:color="auto"/>
              <w:right w:val="single" w:sz="4" w:space="0" w:color="auto"/>
            </w:tcBorders>
            <w:shd w:val="clear" w:color="auto" w:fill="auto"/>
            <w:noWrap/>
            <w:vAlign w:val="center"/>
            <w:hideMark/>
          </w:tcPr>
          <w:p w14:paraId="4CD15FDF" w14:textId="77777777" w:rsidR="00706A40" w:rsidRPr="007F2D4C" w:rsidRDefault="00706A40">
            <w:pPr>
              <w:jc w:val="right"/>
              <w:rPr>
                <w:sz w:val="20"/>
                <w:szCs w:val="20"/>
              </w:rPr>
            </w:pPr>
            <w:r w:rsidRPr="007F2D4C">
              <w:rPr>
                <w:sz w:val="20"/>
                <w:szCs w:val="20"/>
              </w:rPr>
              <w:t>112.233.048,78</w:t>
            </w:r>
          </w:p>
        </w:tc>
      </w:tr>
      <w:tr w:rsidR="00706A40" w:rsidRPr="007F2D4C" w14:paraId="752671B8" w14:textId="77777777" w:rsidTr="00706A40">
        <w:trPr>
          <w:trHeight w:val="7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B1F258" w14:textId="77777777" w:rsidR="00706A40" w:rsidRPr="007F2D4C" w:rsidRDefault="00706A40">
            <w:pPr>
              <w:jc w:val="center"/>
              <w:rPr>
                <w:sz w:val="20"/>
                <w:szCs w:val="20"/>
              </w:rPr>
            </w:pPr>
            <w:r w:rsidRPr="007F2D4C">
              <w:rPr>
                <w:sz w:val="20"/>
                <w:szCs w:val="20"/>
              </w:rPr>
              <w:lastRenderedPageBreak/>
              <w:t>2.</w:t>
            </w:r>
          </w:p>
        </w:tc>
        <w:tc>
          <w:tcPr>
            <w:tcW w:w="4480" w:type="dxa"/>
            <w:tcBorders>
              <w:top w:val="nil"/>
              <w:left w:val="nil"/>
              <w:bottom w:val="single" w:sz="4" w:space="0" w:color="auto"/>
              <w:right w:val="single" w:sz="4" w:space="0" w:color="auto"/>
            </w:tcBorders>
            <w:shd w:val="clear" w:color="auto" w:fill="auto"/>
            <w:vAlign w:val="center"/>
            <w:hideMark/>
          </w:tcPr>
          <w:p w14:paraId="71AAE7E4"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22.881 - Okvirni višesektorski zajam za komunalnu infrastrukturu za Projekt - "Integralni razvoj lokalne zajednice" (6 tranši)</w:t>
            </w:r>
          </w:p>
        </w:tc>
        <w:tc>
          <w:tcPr>
            <w:tcW w:w="800" w:type="dxa"/>
            <w:tcBorders>
              <w:top w:val="nil"/>
              <w:left w:val="nil"/>
              <w:bottom w:val="single" w:sz="4" w:space="0" w:color="auto"/>
              <w:right w:val="single" w:sz="4" w:space="0" w:color="auto"/>
            </w:tcBorders>
            <w:shd w:val="clear" w:color="auto" w:fill="auto"/>
            <w:noWrap/>
            <w:vAlign w:val="center"/>
            <w:hideMark/>
          </w:tcPr>
          <w:p w14:paraId="448F126F"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3FC308DC"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3837C646" w14:textId="77777777" w:rsidR="00706A40" w:rsidRPr="007F2D4C" w:rsidRDefault="00706A40">
            <w:pPr>
              <w:jc w:val="right"/>
              <w:rPr>
                <w:sz w:val="20"/>
                <w:szCs w:val="20"/>
              </w:rPr>
            </w:pPr>
            <w:r w:rsidRPr="007F2D4C">
              <w:rPr>
                <w:sz w:val="20"/>
                <w:szCs w:val="20"/>
              </w:rPr>
              <w:t>54.553.333,48</w:t>
            </w:r>
          </w:p>
        </w:tc>
        <w:tc>
          <w:tcPr>
            <w:tcW w:w="1680" w:type="dxa"/>
            <w:tcBorders>
              <w:top w:val="nil"/>
              <w:left w:val="nil"/>
              <w:bottom w:val="single" w:sz="4" w:space="0" w:color="auto"/>
              <w:right w:val="single" w:sz="4" w:space="0" w:color="auto"/>
            </w:tcBorders>
            <w:shd w:val="clear" w:color="auto" w:fill="auto"/>
            <w:noWrap/>
            <w:vAlign w:val="center"/>
            <w:hideMark/>
          </w:tcPr>
          <w:p w14:paraId="4EBE49EA" w14:textId="77777777" w:rsidR="00706A40" w:rsidRPr="007F2D4C" w:rsidRDefault="00706A40">
            <w:pPr>
              <w:jc w:val="right"/>
              <w:rPr>
                <w:sz w:val="20"/>
                <w:szCs w:val="20"/>
              </w:rPr>
            </w:pPr>
            <w:r w:rsidRPr="007F2D4C">
              <w:rPr>
                <w:sz w:val="20"/>
                <w:szCs w:val="20"/>
              </w:rPr>
              <w:t>410.086.681,84</w:t>
            </w:r>
          </w:p>
        </w:tc>
      </w:tr>
      <w:tr w:rsidR="00706A40" w:rsidRPr="007F2D4C" w14:paraId="1D097731" w14:textId="77777777" w:rsidTr="00706A40">
        <w:trPr>
          <w:trHeight w:val="5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E58645" w14:textId="77777777" w:rsidR="00706A40" w:rsidRPr="007F2D4C" w:rsidRDefault="00706A40">
            <w:pPr>
              <w:jc w:val="center"/>
              <w:rPr>
                <w:sz w:val="20"/>
                <w:szCs w:val="20"/>
              </w:rPr>
            </w:pPr>
            <w:r w:rsidRPr="007F2D4C">
              <w:rPr>
                <w:sz w:val="20"/>
                <w:szCs w:val="20"/>
              </w:rPr>
              <w:t>3.</w:t>
            </w:r>
          </w:p>
        </w:tc>
        <w:tc>
          <w:tcPr>
            <w:tcW w:w="4480" w:type="dxa"/>
            <w:tcBorders>
              <w:top w:val="nil"/>
              <w:left w:val="nil"/>
              <w:bottom w:val="single" w:sz="4" w:space="0" w:color="auto"/>
              <w:right w:val="single" w:sz="4" w:space="0" w:color="auto"/>
            </w:tcBorders>
            <w:shd w:val="clear" w:color="auto" w:fill="auto"/>
            <w:vAlign w:val="center"/>
            <w:hideMark/>
          </w:tcPr>
          <w:p w14:paraId="265CEA99"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25.749 - Projekt sufinanciranja EU IPA ISPA 2007-2011. (5 tranši)</w:t>
            </w:r>
          </w:p>
        </w:tc>
        <w:tc>
          <w:tcPr>
            <w:tcW w:w="800" w:type="dxa"/>
            <w:tcBorders>
              <w:top w:val="nil"/>
              <w:left w:val="nil"/>
              <w:bottom w:val="single" w:sz="4" w:space="0" w:color="auto"/>
              <w:right w:val="single" w:sz="4" w:space="0" w:color="auto"/>
            </w:tcBorders>
            <w:shd w:val="clear" w:color="auto" w:fill="auto"/>
            <w:noWrap/>
            <w:vAlign w:val="center"/>
            <w:hideMark/>
          </w:tcPr>
          <w:p w14:paraId="55A0A7C7"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0F515FFA"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3FDBB5C3" w14:textId="77777777" w:rsidR="00706A40" w:rsidRPr="007F2D4C" w:rsidRDefault="00706A40">
            <w:pPr>
              <w:jc w:val="right"/>
              <w:rPr>
                <w:sz w:val="20"/>
                <w:szCs w:val="20"/>
              </w:rPr>
            </w:pPr>
            <w:r w:rsidRPr="007F2D4C">
              <w:rPr>
                <w:sz w:val="20"/>
                <w:szCs w:val="20"/>
              </w:rPr>
              <w:t>162.093.040,58</w:t>
            </w:r>
          </w:p>
        </w:tc>
        <w:tc>
          <w:tcPr>
            <w:tcW w:w="1680" w:type="dxa"/>
            <w:tcBorders>
              <w:top w:val="nil"/>
              <w:left w:val="nil"/>
              <w:bottom w:val="single" w:sz="4" w:space="0" w:color="auto"/>
              <w:right w:val="single" w:sz="4" w:space="0" w:color="auto"/>
            </w:tcBorders>
            <w:shd w:val="clear" w:color="auto" w:fill="auto"/>
            <w:noWrap/>
            <w:vAlign w:val="center"/>
            <w:hideMark/>
          </w:tcPr>
          <w:p w14:paraId="6AD8DFAA" w14:textId="77777777" w:rsidR="00706A40" w:rsidRPr="007F2D4C" w:rsidRDefault="00706A40">
            <w:pPr>
              <w:jc w:val="right"/>
              <w:rPr>
                <w:sz w:val="20"/>
                <w:szCs w:val="20"/>
              </w:rPr>
            </w:pPr>
            <w:r w:rsidRPr="007F2D4C">
              <w:rPr>
                <w:sz w:val="20"/>
                <w:szCs w:val="20"/>
              </w:rPr>
              <w:t>1.218.480.941,86</w:t>
            </w:r>
          </w:p>
        </w:tc>
      </w:tr>
      <w:tr w:rsidR="00706A40" w:rsidRPr="007F2D4C" w14:paraId="2B2AD140" w14:textId="77777777" w:rsidTr="00706A40">
        <w:trPr>
          <w:trHeight w:val="5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E6526" w14:textId="77777777" w:rsidR="00706A40" w:rsidRPr="007F2D4C" w:rsidRDefault="00706A40">
            <w:pPr>
              <w:jc w:val="center"/>
              <w:rPr>
                <w:sz w:val="20"/>
                <w:szCs w:val="20"/>
              </w:rPr>
            </w:pPr>
            <w:r w:rsidRPr="007F2D4C">
              <w:rPr>
                <w:sz w:val="20"/>
                <w:szCs w:val="20"/>
              </w:rPr>
              <w:t>4.</w:t>
            </w:r>
          </w:p>
        </w:tc>
        <w:tc>
          <w:tcPr>
            <w:tcW w:w="4480" w:type="dxa"/>
            <w:tcBorders>
              <w:top w:val="nil"/>
              <w:left w:val="nil"/>
              <w:bottom w:val="single" w:sz="4" w:space="0" w:color="auto"/>
              <w:right w:val="single" w:sz="4" w:space="0" w:color="auto"/>
            </w:tcBorders>
            <w:shd w:val="clear" w:color="auto" w:fill="auto"/>
            <w:vAlign w:val="center"/>
            <w:hideMark/>
          </w:tcPr>
          <w:p w14:paraId="01EB2E30"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31.146 - Projekt razvoja infrastrukture na otocima i u priobalju (1 tranša)</w:t>
            </w:r>
          </w:p>
        </w:tc>
        <w:tc>
          <w:tcPr>
            <w:tcW w:w="800" w:type="dxa"/>
            <w:tcBorders>
              <w:top w:val="nil"/>
              <w:left w:val="nil"/>
              <w:bottom w:val="single" w:sz="4" w:space="0" w:color="auto"/>
              <w:right w:val="single" w:sz="4" w:space="0" w:color="auto"/>
            </w:tcBorders>
            <w:shd w:val="clear" w:color="auto" w:fill="auto"/>
            <w:noWrap/>
            <w:vAlign w:val="center"/>
            <w:hideMark/>
          </w:tcPr>
          <w:p w14:paraId="36579093"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58522687"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629CF2B1" w14:textId="77777777" w:rsidR="00706A40" w:rsidRPr="007F2D4C" w:rsidRDefault="00706A40">
            <w:pPr>
              <w:jc w:val="right"/>
              <w:rPr>
                <w:sz w:val="20"/>
                <w:szCs w:val="20"/>
              </w:rPr>
            </w:pPr>
            <w:r w:rsidRPr="007F2D4C">
              <w:rPr>
                <w:sz w:val="20"/>
                <w:szCs w:val="20"/>
              </w:rPr>
              <w:t>5.600.000,02</w:t>
            </w:r>
          </w:p>
        </w:tc>
        <w:tc>
          <w:tcPr>
            <w:tcW w:w="1680" w:type="dxa"/>
            <w:tcBorders>
              <w:top w:val="nil"/>
              <w:left w:val="nil"/>
              <w:bottom w:val="single" w:sz="4" w:space="0" w:color="auto"/>
              <w:right w:val="single" w:sz="4" w:space="0" w:color="auto"/>
            </w:tcBorders>
            <w:shd w:val="clear" w:color="auto" w:fill="auto"/>
            <w:noWrap/>
            <w:vAlign w:val="center"/>
            <w:hideMark/>
          </w:tcPr>
          <w:p w14:paraId="3A174E7D" w14:textId="77777777" w:rsidR="00706A40" w:rsidRPr="007F2D4C" w:rsidRDefault="00706A40">
            <w:pPr>
              <w:jc w:val="right"/>
              <w:rPr>
                <w:sz w:val="20"/>
                <w:szCs w:val="20"/>
              </w:rPr>
            </w:pPr>
            <w:r w:rsidRPr="007F2D4C">
              <w:rPr>
                <w:sz w:val="20"/>
                <w:szCs w:val="20"/>
              </w:rPr>
              <w:t>42.096.152,15</w:t>
            </w:r>
          </w:p>
        </w:tc>
      </w:tr>
      <w:tr w:rsidR="00706A40" w:rsidRPr="007F2D4C" w14:paraId="44CED557" w14:textId="77777777" w:rsidTr="00706A40">
        <w:trPr>
          <w:trHeight w:val="5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AA54CD" w14:textId="77777777" w:rsidR="00706A40" w:rsidRPr="007F2D4C" w:rsidRDefault="00706A40">
            <w:pPr>
              <w:jc w:val="center"/>
              <w:rPr>
                <w:sz w:val="20"/>
                <w:szCs w:val="20"/>
              </w:rPr>
            </w:pPr>
            <w:r w:rsidRPr="007F2D4C">
              <w:rPr>
                <w:sz w:val="20"/>
                <w:szCs w:val="20"/>
              </w:rPr>
              <w:t>5.</w:t>
            </w:r>
          </w:p>
        </w:tc>
        <w:tc>
          <w:tcPr>
            <w:tcW w:w="4480" w:type="dxa"/>
            <w:tcBorders>
              <w:top w:val="nil"/>
              <w:left w:val="nil"/>
              <w:bottom w:val="single" w:sz="4" w:space="0" w:color="auto"/>
              <w:right w:val="single" w:sz="4" w:space="0" w:color="auto"/>
            </w:tcBorders>
            <w:shd w:val="clear" w:color="auto" w:fill="auto"/>
            <w:vAlign w:val="center"/>
            <w:hideMark/>
          </w:tcPr>
          <w:p w14:paraId="3583FA11"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31.176 - Projekt "Financiranje vodno-komunalne infrastrukture" (4 tranše)</w:t>
            </w:r>
          </w:p>
        </w:tc>
        <w:tc>
          <w:tcPr>
            <w:tcW w:w="800" w:type="dxa"/>
            <w:tcBorders>
              <w:top w:val="nil"/>
              <w:left w:val="nil"/>
              <w:bottom w:val="single" w:sz="4" w:space="0" w:color="auto"/>
              <w:right w:val="single" w:sz="4" w:space="0" w:color="auto"/>
            </w:tcBorders>
            <w:shd w:val="clear" w:color="auto" w:fill="auto"/>
            <w:noWrap/>
            <w:vAlign w:val="center"/>
            <w:hideMark/>
          </w:tcPr>
          <w:p w14:paraId="231D1D7E"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2F0130E8"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5BBE0EB8" w14:textId="77777777" w:rsidR="00706A40" w:rsidRPr="007F2D4C" w:rsidRDefault="00706A40">
            <w:pPr>
              <w:jc w:val="right"/>
              <w:rPr>
                <w:sz w:val="20"/>
                <w:szCs w:val="20"/>
              </w:rPr>
            </w:pPr>
            <w:r w:rsidRPr="007F2D4C">
              <w:rPr>
                <w:sz w:val="20"/>
                <w:szCs w:val="20"/>
              </w:rPr>
              <w:t>24.274.333,81</w:t>
            </w:r>
          </w:p>
        </w:tc>
        <w:tc>
          <w:tcPr>
            <w:tcW w:w="1680" w:type="dxa"/>
            <w:tcBorders>
              <w:top w:val="nil"/>
              <w:left w:val="nil"/>
              <w:bottom w:val="single" w:sz="4" w:space="0" w:color="auto"/>
              <w:right w:val="single" w:sz="4" w:space="0" w:color="auto"/>
            </w:tcBorders>
            <w:shd w:val="clear" w:color="auto" w:fill="auto"/>
            <w:noWrap/>
            <w:vAlign w:val="center"/>
            <w:hideMark/>
          </w:tcPr>
          <w:p w14:paraId="25478BE7" w14:textId="77777777" w:rsidR="00706A40" w:rsidRPr="007F2D4C" w:rsidRDefault="00706A40">
            <w:pPr>
              <w:jc w:val="right"/>
              <w:rPr>
                <w:sz w:val="20"/>
                <w:szCs w:val="20"/>
              </w:rPr>
            </w:pPr>
            <w:r w:rsidRPr="007F2D4C">
              <w:rPr>
                <w:sz w:val="20"/>
                <w:szCs w:val="20"/>
              </w:rPr>
              <w:t>182.474.293,89</w:t>
            </w:r>
          </w:p>
        </w:tc>
      </w:tr>
      <w:tr w:rsidR="00706A40" w:rsidRPr="007F2D4C" w14:paraId="115F65C4" w14:textId="77777777" w:rsidTr="00706A40">
        <w:trPr>
          <w:trHeight w:val="7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DB3BD4" w14:textId="77777777" w:rsidR="00706A40" w:rsidRPr="007F2D4C" w:rsidRDefault="00706A40">
            <w:pPr>
              <w:jc w:val="center"/>
              <w:rPr>
                <w:sz w:val="20"/>
                <w:szCs w:val="20"/>
              </w:rPr>
            </w:pPr>
            <w:r w:rsidRPr="007F2D4C">
              <w:rPr>
                <w:sz w:val="20"/>
                <w:szCs w:val="20"/>
              </w:rPr>
              <w:t>6.</w:t>
            </w:r>
          </w:p>
        </w:tc>
        <w:tc>
          <w:tcPr>
            <w:tcW w:w="4480" w:type="dxa"/>
            <w:tcBorders>
              <w:top w:val="nil"/>
              <w:left w:val="nil"/>
              <w:bottom w:val="single" w:sz="4" w:space="0" w:color="auto"/>
              <w:right w:val="single" w:sz="4" w:space="0" w:color="auto"/>
            </w:tcBorders>
            <w:shd w:val="clear" w:color="auto" w:fill="auto"/>
            <w:vAlign w:val="center"/>
            <w:hideMark/>
          </w:tcPr>
          <w:p w14:paraId="6E9309F5"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84.395 - Projekt nacionalnog sufinanciranja EU fondova u razdoblju od 2014. - 2020. godine (2 tranše)</w:t>
            </w:r>
          </w:p>
        </w:tc>
        <w:tc>
          <w:tcPr>
            <w:tcW w:w="800" w:type="dxa"/>
            <w:tcBorders>
              <w:top w:val="nil"/>
              <w:left w:val="nil"/>
              <w:bottom w:val="single" w:sz="4" w:space="0" w:color="auto"/>
              <w:right w:val="single" w:sz="4" w:space="0" w:color="auto"/>
            </w:tcBorders>
            <w:shd w:val="clear" w:color="auto" w:fill="auto"/>
            <w:noWrap/>
            <w:vAlign w:val="center"/>
            <w:hideMark/>
          </w:tcPr>
          <w:p w14:paraId="19F1E2F5"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6F9C9AA8"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65E60E13" w14:textId="77777777" w:rsidR="00706A40" w:rsidRPr="007F2D4C" w:rsidRDefault="00706A40">
            <w:pPr>
              <w:jc w:val="right"/>
              <w:rPr>
                <w:sz w:val="20"/>
                <w:szCs w:val="20"/>
              </w:rPr>
            </w:pPr>
            <w:r w:rsidRPr="007F2D4C">
              <w:rPr>
                <w:sz w:val="20"/>
                <w:szCs w:val="20"/>
              </w:rPr>
              <w:t>297.000.000,00</w:t>
            </w:r>
          </w:p>
        </w:tc>
        <w:tc>
          <w:tcPr>
            <w:tcW w:w="1680" w:type="dxa"/>
            <w:tcBorders>
              <w:top w:val="nil"/>
              <w:left w:val="nil"/>
              <w:bottom w:val="single" w:sz="4" w:space="0" w:color="auto"/>
              <w:right w:val="single" w:sz="4" w:space="0" w:color="auto"/>
            </w:tcBorders>
            <w:shd w:val="clear" w:color="auto" w:fill="auto"/>
            <w:noWrap/>
            <w:vAlign w:val="center"/>
            <w:hideMark/>
          </w:tcPr>
          <w:p w14:paraId="45B6D03C" w14:textId="77777777" w:rsidR="00706A40" w:rsidRPr="007F2D4C" w:rsidRDefault="00706A40">
            <w:pPr>
              <w:jc w:val="right"/>
              <w:rPr>
                <w:sz w:val="20"/>
                <w:szCs w:val="20"/>
              </w:rPr>
            </w:pPr>
            <w:r w:rsidRPr="007F2D4C">
              <w:rPr>
                <w:sz w:val="20"/>
                <w:szCs w:val="20"/>
              </w:rPr>
              <w:t>2.232.599.490,00</w:t>
            </w:r>
          </w:p>
        </w:tc>
      </w:tr>
      <w:tr w:rsidR="00706A40" w:rsidRPr="007F2D4C" w14:paraId="2C43EB7B" w14:textId="77777777" w:rsidTr="00706A40">
        <w:trPr>
          <w:trHeight w:val="78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CFCD1F" w14:textId="77777777" w:rsidR="00706A40" w:rsidRPr="007F2D4C" w:rsidRDefault="00706A40">
            <w:pPr>
              <w:jc w:val="center"/>
              <w:rPr>
                <w:sz w:val="20"/>
                <w:szCs w:val="20"/>
              </w:rPr>
            </w:pPr>
            <w:r w:rsidRPr="007F2D4C">
              <w:rPr>
                <w:sz w:val="20"/>
                <w:szCs w:val="20"/>
              </w:rPr>
              <w:t>7.</w:t>
            </w:r>
          </w:p>
        </w:tc>
        <w:tc>
          <w:tcPr>
            <w:tcW w:w="4480" w:type="dxa"/>
            <w:tcBorders>
              <w:top w:val="nil"/>
              <w:left w:val="nil"/>
              <w:bottom w:val="single" w:sz="4" w:space="0" w:color="auto"/>
              <w:right w:val="single" w:sz="4" w:space="0" w:color="auto"/>
            </w:tcBorders>
            <w:shd w:val="clear" w:color="auto" w:fill="auto"/>
            <w:vAlign w:val="center"/>
            <w:hideMark/>
          </w:tcPr>
          <w:p w14:paraId="25FCEB97" w14:textId="77777777" w:rsidR="00706A40" w:rsidRPr="007F2D4C" w:rsidRDefault="00706A40">
            <w:pPr>
              <w:rPr>
                <w:sz w:val="20"/>
                <w:szCs w:val="20"/>
              </w:rPr>
            </w:pPr>
            <w:proofErr w:type="spellStart"/>
            <w:r w:rsidRPr="007F2D4C">
              <w:rPr>
                <w:sz w:val="20"/>
                <w:szCs w:val="20"/>
              </w:rPr>
              <w:t>FINo</w:t>
            </w:r>
            <w:proofErr w:type="spellEnd"/>
            <w:r w:rsidRPr="007F2D4C">
              <w:rPr>
                <w:sz w:val="20"/>
                <w:szCs w:val="20"/>
              </w:rPr>
              <w:t>. 89.118 - Projekt nacionalnog sufinanciranja EU fondova u razdoblju od 2014. - 2020. godine / B (1 tranša)</w:t>
            </w:r>
          </w:p>
        </w:tc>
        <w:tc>
          <w:tcPr>
            <w:tcW w:w="800" w:type="dxa"/>
            <w:tcBorders>
              <w:top w:val="nil"/>
              <w:left w:val="nil"/>
              <w:bottom w:val="single" w:sz="4" w:space="0" w:color="auto"/>
              <w:right w:val="single" w:sz="4" w:space="0" w:color="auto"/>
            </w:tcBorders>
            <w:shd w:val="clear" w:color="auto" w:fill="auto"/>
            <w:noWrap/>
            <w:vAlign w:val="center"/>
            <w:hideMark/>
          </w:tcPr>
          <w:p w14:paraId="72E6C4B6" w14:textId="77777777" w:rsidR="00706A40" w:rsidRPr="007F2D4C" w:rsidRDefault="00706A40">
            <w:pPr>
              <w:jc w:val="center"/>
              <w:rPr>
                <w:sz w:val="20"/>
                <w:szCs w:val="20"/>
              </w:rPr>
            </w:pPr>
            <w:r w:rsidRPr="007F2D4C">
              <w:rPr>
                <w:sz w:val="20"/>
                <w:szCs w:val="20"/>
              </w:rPr>
              <w:t>EIB</w:t>
            </w:r>
          </w:p>
        </w:tc>
        <w:tc>
          <w:tcPr>
            <w:tcW w:w="760" w:type="dxa"/>
            <w:tcBorders>
              <w:top w:val="nil"/>
              <w:left w:val="nil"/>
              <w:bottom w:val="single" w:sz="4" w:space="0" w:color="auto"/>
              <w:right w:val="single" w:sz="4" w:space="0" w:color="auto"/>
            </w:tcBorders>
            <w:shd w:val="clear" w:color="auto" w:fill="auto"/>
            <w:noWrap/>
            <w:vAlign w:val="center"/>
            <w:hideMark/>
          </w:tcPr>
          <w:p w14:paraId="1A15778D"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44981265" w14:textId="77777777" w:rsidR="00706A40" w:rsidRPr="007F2D4C" w:rsidRDefault="00706A40">
            <w:pPr>
              <w:jc w:val="right"/>
              <w:rPr>
                <w:sz w:val="20"/>
                <w:szCs w:val="20"/>
              </w:rPr>
            </w:pPr>
            <w:r w:rsidRPr="007F2D4C">
              <w:rPr>
                <w:sz w:val="20"/>
                <w:szCs w:val="20"/>
              </w:rPr>
              <w:t>90.000.000,00</w:t>
            </w:r>
          </w:p>
        </w:tc>
        <w:tc>
          <w:tcPr>
            <w:tcW w:w="1680" w:type="dxa"/>
            <w:tcBorders>
              <w:top w:val="nil"/>
              <w:left w:val="nil"/>
              <w:bottom w:val="single" w:sz="4" w:space="0" w:color="auto"/>
              <w:right w:val="single" w:sz="4" w:space="0" w:color="auto"/>
            </w:tcBorders>
            <w:shd w:val="clear" w:color="auto" w:fill="auto"/>
            <w:noWrap/>
            <w:vAlign w:val="center"/>
            <w:hideMark/>
          </w:tcPr>
          <w:p w14:paraId="1906930C" w14:textId="77777777" w:rsidR="00706A40" w:rsidRPr="007F2D4C" w:rsidRDefault="00706A40">
            <w:pPr>
              <w:jc w:val="right"/>
              <w:rPr>
                <w:sz w:val="20"/>
                <w:szCs w:val="20"/>
              </w:rPr>
            </w:pPr>
            <w:r w:rsidRPr="007F2D4C">
              <w:rPr>
                <w:sz w:val="20"/>
                <w:szCs w:val="20"/>
              </w:rPr>
              <w:t>676.545.300,00</w:t>
            </w:r>
          </w:p>
        </w:tc>
      </w:tr>
      <w:tr w:rsidR="00706A40" w:rsidRPr="007F2D4C" w14:paraId="6E36FCB8" w14:textId="77777777" w:rsidTr="00706A40">
        <w:trPr>
          <w:trHeight w:val="315"/>
          <w:jc w:val="center"/>
        </w:trPr>
        <w:tc>
          <w:tcPr>
            <w:tcW w:w="506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4ADA965" w14:textId="77777777" w:rsidR="00706A40" w:rsidRPr="007F2D4C" w:rsidRDefault="00706A40">
            <w:pPr>
              <w:rPr>
                <w:b/>
                <w:bCs/>
                <w:sz w:val="20"/>
                <w:szCs w:val="20"/>
              </w:rPr>
            </w:pPr>
            <w:r w:rsidRPr="007F2D4C">
              <w:rPr>
                <w:b/>
                <w:bCs/>
                <w:sz w:val="20"/>
                <w:szCs w:val="20"/>
              </w:rPr>
              <w:t>UKUPNO</w:t>
            </w:r>
          </w:p>
        </w:tc>
        <w:tc>
          <w:tcPr>
            <w:tcW w:w="800" w:type="dxa"/>
            <w:tcBorders>
              <w:top w:val="double" w:sz="6" w:space="0" w:color="auto"/>
              <w:left w:val="nil"/>
              <w:bottom w:val="double" w:sz="6" w:space="0" w:color="auto"/>
              <w:right w:val="double" w:sz="6" w:space="0" w:color="auto"/>
            </w:tcBorders>
            <w:shd w:val="clear" w:color="auto" w:fill="auto"/>
            <w:noWrap/>
            <w:vAlign w:val="center"/>
            <w:hideMark/>
          </w:tcPr>
          <w:p w14:paraId="55486E1E" w14:textId="77777777" w:rsidR="00706A40" w:rsidRPr="007F2D4C" w:rsidRDefault="00706A40">
            <w:pPr>
              <w:jc w:val="center"/>
              <w:rPr>
                <w:b/>
                <w:bCs/>
                <w:sz w:val="20"/>
                <w:szCs w:val="20"/>
              </w:rPr>
            </w:pPr>
            <w:r w:rsidRPr="007F2D4C">
              <w:rPr>
                <w:b/>
                <w:bCs/>
                <w:sz w:val="20"/>
                <w:szCs w:val="20"/>
              </w:rPr>
              <w:t>EIB</w:t>
            </w:r>
          </w:p>
        </w:tc>
        <w:tc>
          <w:tcPr>
            <w:tcW w:w="760" w:type="dxa"/>
            <w:tcBorders>
              <w:top w:val="double" w:sz="6" w:space="0" w:color="auto"/>
              <w:left w:val="nil"/>
              <w:bottom w:val="double" w:sz="6" w:space="0" w:color="auto"/>
              <w:right w:val="double" w:sz="6" w:space="0" w:color="auto"/>
            </w:tcBorders>
            <w:shd w:val="clear" w:color="auto" w:fill="auto"/>
            <w:noWrap/>
            <w:vAlign w:val="center"/>
            <w:hideMark/>
          </w:tcPr>
          <w:p w14:paraId="56B55A5A" w14:textId="77777777" w:rsidR="00706A40" w:rsidRPr="007F2D4C" w:rsidRDefault="00706A40">
            <w:pPr>
              <w:jc w:val="center"/>
              <w:rPr>
                <w:b/>
                <w:bCs/>
                <w:sz w:val="20"/>
                <w:szCs w:val="20"/>
              </w:rPr>
            </w:pPr>
            <w:r w:rsidRPr="007F2D4C">
              <w:rPr>
                <w:b/>
                <w:bCs/>
                <w:sz w:val="20"/>
                <w:szCs w:val="20"/>
              </w:rPr>
              <w:t>EUR</w:t>
            </w:r>
          </w:p>
        </w:tc>
        <w:tc>
          <w:tcPr>
            <w:tcW w:w="1600" w:type="dxa"/>
            <w:tcBorders>
              <w:top w:val="double" w:sz="6" w:space="0" w:color="auto"/>
              <w:left w:val="nil"/>
              <w:bottom w:val="double" w:sz="6" w:space="0" w:color="auto"/>
              <w:right w:val="double" w:sz="6" w:space="0" w:color="auto"/>
            </w:tcBorders>
            <w:shd w:val="clear" w:color="auto" w:fill="auto"/>
            <w:noWrap/>
            <w:vAlign w:val="center"/>
            <w:hideMark/>
          </w:tcPr>
          <w:p w14:paraId="0658064A" w14:textId="77777777" w:rsidR="00706A40" w:rsidRPr="007F2D4C" w:rsidRDefault="00706A40">
            <w:pPr>
              <w:jc w:val="right"/>
              <w:rPr>
                <w:b/>
                <w:bCs/>
                <w:sz w:val="20"/>
                <w:szCs w:val="20"/>
              </w:rPr>
            </w:pPr>
            <w:r w:rsidRPr="007F2D4C">
              <w:rPr>
                <w:b/>
                <w:bCs/>
                <w:sz w:val="20"/>
                <w:szCs w:val="20"/>
              </w:rPr>
              <w:t>648.450.934,13</w:t>
            </w:r>
          </w:p>
        </w:tc>
        <w:tc>
          <w:tcPr>
            <w:tcW w:w="1680" w:type="dxa"/>
            <w:tcBorders>
              <w:top w:val="double" w:sz="6" w:space="0" w:color="auto"/>
              <w:left w:val="nil"/>
              <w:bottom w:val="double" w:sz="6" w:space="0" w:color="auto"/>
              <w:right w:val="double" w:sz="6" w:space="0" w:color="auto"/>
            </w:tcBorders>
            <w:shd w:val="clear" w:color="auto" w:fill="auto"/>
            <w:noWrap/>
            <w:vAlign w:val="center"/>
            <w:hideMark/>
          </w:tcPr>
          <w:p w14:paraId="79F60551" w14:textId="77777777" w:rsidR="00706A40" w:rsidRPr="007F2D4C" w:rsidRDefault="00706A40">
            <w:pPr>
              <w:jc w:val="right"/>
              <w:rPr>
                <w:b/>
                <w:bCs/>
                <w:sz w:val="20"/>
                <w:szCs w:val="20"/>
              </w:rPr>
            </w:pPr>
            <w:r w:rsidRPr="007F2D4C">
              <w:rPr>
                <w:b/>
                <w:bCs/>
                <w:sz w:val="20"/>
                <w:szCs w:val="20"/>
              </w:rPr>
              <w:t>4.874.515.908,51</w:t>
            </w:r>
          </w:p>
        </w:tc>
      </w:tr>
      <w:tr w:rsidR="00706A40" w:rsidRPr="007F2D4C" w14:paraId="4FD12E34" w14:textId="77777777" w:rsidTr="00706A40">
        <w:trPr>
          <w:trHeight w:val="255"/>
          <w:jc w:val="center"/>
        </w:trPr>
        <w:tc>
          <w:tcPr>
            <w:tcW w:w="580" w:type="dxa"/>
            <w:tcBorders>
              <w:top w:val="nil"/>
              <w:left w:val="nil"/>
              <w:bottom w:val="nil"/>
              <w:right w:val="nil"/>
            </w:tcBorders>
            <w:shd w:val="clear" w:color="auto" w:fill="auto"/>
            <w:noWrap/>
            <w:vAlign w:val="center"/>
            <w:hideMark/>
          </w:tcPr>
          <w:p w14:paraId="4E8A0844" w14:textId="77777777" w:rsidR="00706A40" w:rsidRPr="007F2D4C" w:rsidRDefault="00706A40">
            <w:pPr>
              <w:jc w:val="right"/>
              <w:rPr>
                <w:b/>
                <w:bCs/>
                <w:sz w:val="20"/>
                <w:szCs w:val="20"/>
              </w:rPr>
            </w:pPr>
          </w:p>
        </w:tc>
        <w:tc>
          <w:tcPr>
            <w:tcW w:w="4480" w:type="dxa"/>
            <w:tcBorders>
              <w:top w:val="nil"/>
              <w:left w:val="nil"/>
              <w:bottom w:val="nil"/>
              <w:right w:val="nil"/>
            </w:tcBorders>
            <w:shd w:val="clear" w:color="auto" w:fill="auto"/>
            <w:noWrap/>
            <w:vAlign w:val="center"/>
            <w:hideMark/>
          </w:tcPr>
          <w:p w14:paraId="206C086C" w14:textId="77777777" w:rsidR="00706A40" w:rsidRPr="007F2D4C" w:rsidRDefault="00706A40">
            <w:pPr>
              <w:rPr>
                <w:sz w:val="20"/>
                <w:szCs w:val="20"/>
              </w:rPr>
            </w:pPr>
          </w:p>
        </w:tc>
        <w:tc>
          <w:tcPr>
            <w:tcW w:w="800" w:type="dxa"/>
            <w:tcBorders>
              <w:top w:val="nil"/>
              <w:left w:val="nil"/>
              <w:bottom w:val="nil"/>
              <w:right w:val="nil"/>
            </w:tcBorders>
            <w:shd w:val="clear" w:color="auto" w:fill="auto"/>
            <w:noWrap/>
            <w:vAlign w:val="center"/>
            <w:hideMark/>
          </w:tcPr>
          <w:p w14:paraId="6B8BEA67" w14:textId="77777777" w:rsidR="00706A40" w:rsidRPr="007F2D4C" w:rsidRDefault="00706A40">
            <w:pPr>
              <w:rPr>
                <w:sz w:val="20"/>
                <w:szCs w:val="20"/>
              </w:rPr>
            </w:pPr>
          </w:p>
        </w:tc>
        <w:tc>
          <w:tcPr>
            <w:tcW w:w="760" w:type="dxa"/>
            <w:tcBorders>
              <w:top w:val="nil"/>
              <w:left w:val="nil"/>
              <w:bottom w:val="single" w:sz="4" w:space="0" w:color="auto"/>
              <w:right w:val="nil"/>
            </w:tcBorders>
            <w:shd w:val="clear" w:color="auto" w:fill="auto"/>
            <w:noWrap/>
            <w:vAlign w:val="center"/>
            <w:hideMark/>
          </w:tcPr>
          <w:p w14:paraId="71AC6315" w14:textId="77777777" w:rsidR="00706A40" w:rsidRPr="007F2D4C" w:rsidRDefault="00706A40">
            <w:pPr>
              <w:jc w:val="center"/>
              <w:rPr>
                <w:b/>
                <w:bCs/>
                <w:sz w:val="20"/>
                <w:szCs w:val="20"/>
              </w:rPr>
            </w:pPr>
            <w:r w:rsidRPr="007F2D4C">
              <w:rPr>
                <w:b/>
                <w:bCs/>
                <w:sz w:val="20"/>
                <w:szCs w:val="20"/>
              </w:rPr>
              <w:t> </w:t>
            </w:r>
          </w:p>
        </w:tc>
        <w:tc>
          <w:tcPr>
            <w:tcW w:w="1600" w:type="dxa"/>
            <w:tcBorders>
              <w:top w:val="nil"/>
              <w:left w:val="nil"/>
              <w:bottom w:val="single" w:sz="4" w:space="0" w:color="auto"/>
              <w:right w:val="nil"/>
            </w:tcBorders>
            <w:shd w:val="clear" w:color="auto" w:fill="auto"/>
            <w:noWrap/>
            <w:vAlign w:val="center"/>
            <w:hideMark/>
          </w:tcPr>
          <w:p w14:paraId="7D620B98" w14:textId="77777777" w:rsidR="00706A40" w:rsidRPr="007F2D4C" w:rsidRDefault="00706A40">
            <w:pPr>
              <w:jc w:val="right"/>
              <w:rPr>
                <w:b/>
                <w:bCs/>
                <w:sz w:val="20"/>
                <w:szCs w:val="20"/>
              </w:rPr>
            </w:pPr>
            <w:r w:rsidRPr="007F2D4C">
              <w:rPr>
                <w:b/>
                <w:bCs/>
                <w:sz w:val="20"/>
                <w:szCs w:val="20"/>
              </w:rPr>
              <w:t> </w:t>
            </w:r>
          </w:p>
        </w:tc>
        <w:tc>
          <w:tcPr>
            <w:tcW w:w="1680" w:type="dxa"/>
            <w:tcBorders>
              <w:top w:val="nil"/>
              <w:left w:val="nil"/>
              <w:bottom w:val="single" w:sz="4" w:space="0" w:color="auto"/>
              <w:right w:val="nil"/>
            </w:tcBorders>
            <w:shd w:val="clear" w:color="auto" w:fill="auto"/>
            <w:noWrap/>
            <w:vAlign w:val="center"/>
            <w:hideMark/>
          </w:tcPr>
          <w:p w14:paraId="3563C6DF" w14:textId="77777777" w:rsidR="00706A40" w:rsidRPr="007F2D4C" w:rsidRDefault="00706A40">
            <w:pPr>
              <w:jc w:val="right"/>
              <w:rPr>
                <w:sz w:val="20"/>
                <w:szCs w:val="20"/>
              </w:rPr>
            </w:pPr>
            <w:r w:rsidRPr="007F2D4C">
              <w:rPr>
                <w:sz w:val="20"/>
                <w:szCs w:val="20"/>
              </w:rPr>
              <w:t> </w:t>
            </w:r>
          </w:p>
        </w:tc>
      </w:tr>
      <w:tr w:rsidR="00706A40" w:rsidRPr="007F2D4C" w14:paraId="24975E77" w14:textId="77777777" w:rsidTr="00706A40">
        <w:trPr>
          <w:trHeight w:val="76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6EE3" w14:textId="77777777" w:rsidR="00706A40" w:rsidRPr="007F2D4C" w:rsidRDefault="00706A40">
            <w:pPr>
              <w:jc w:val="center"/>
              <w:rPr>
                <w:sz w:val="20"/>
                <w:szCs w:val="20"/>
              </w:rPr>
            </w:pPr>
            <w:r w:rsidRPr="007F2D4C">
              <w:rPr>
                <w:sz w:val="20"/>
                <w:szCs w:val="20"/>
              </w:rPr>
              <w:t>8.</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7138C6D0" w14:textId="77777777" w:rsidR="00706A40" w:rsidRPr="007F2D4C" w:rsidRDefault="00706A40">
            <w:pPr>
              <w:rPr>
                <w:sz w:val="20"/>
                <w:szCs w:val="20"/>
              </w:rPr>
            </w:pPr>
            <w:r w:rsidRPr="007F2D4C">
              <w:rPr>
                <w:sz w:val="20"/>
                <w:szCs w:val="20"/>
              </w:rPr>
              <w:t>Privremena potpora radi smanjenja rizika od nezaposlenosti u izvanrednoj situaciji nakon izbijanja bolesti COVID-19 (SURE) - I. tranša</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A301D4A" w14:textId="77777777" w:rsidR="00706A40" w:rsidRPr="007F2D4C" w:rsidRDefault="00706A40">
            <w:pPr>
              <w:jc w:val="center"/>
              <w:rPr>
                <w:sz w:val="20"/>
                <w:szCs w:val="20"/>
              </w:rPr>
            </w:pPr>
            <w:r w:rsidRPr="007F2D4C">
              <w:rPr>
                <w:sz w:val="20"/>
                <w:szCs w:val="20"/>
              </w:rPr>
              <w:t>EK</w:t>
            </w:r>
          </w:p>
        </w:tc>
        <w:tc>
          <w:tcPr>
            <w:tcW w:w="760" w:type="dxa"/>
            <w:tcBorders>
              <w:top w:val="nil"/>
              <w:left w:val="nil"/>
              <w:bottom w:val="single" w:sz="4" w:space="0" w:color="auto"/>
              <w:right w:val="single" w:sz="4" w:space="0" w:color="auto"/>
            </w:tcBorders>
            <w:shd w:val="clear" w:color="auto" w:fill="auto"/>
            <w:noWrap/>
            <w:vAlign w:val="center"/>
            <w:hideMark/>
          </w:tcPr>
          <w:p w14:paraId="12E05FF3"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44CDAC5E" w14:textId="77777777" w:rsidR="00706A40" w:rsidRPr="007F2D4C" w:rsidRDefault="00706A40">
            <w:pPr>
              <w:jc w:val="right"/>
              <w:rPr>
                <w:sz w:val="20"/>
                <w:szCs w:val="20"/>
              </w:rPr>
            </w:pPr>
            <w:r w:rsidRPr="007F2D4C">
              <w:rPr>
                <w:sz w:val="20"/>
                <w:szCs w:val="20"/>
              </w:rPr>
              <w:t>340.000.000,00</w:t>
            </w:r>
          </w:p>
        </w:tc>
        <w:tc>
          <w:tcPr>
            <w:tcW w:w="1680" w:type="dxa"/>
            <w:tcBorders>
              <w:top w:val="nil"/>
              <w:left w:val="nil"/>
              <w:bottom w:val="single" w:sz="4" w:space="0" w:color="auto"/>
              <w:right w:val="single" w:sz="4" w:space="0" w:color="auto"/>
            </w:tcBorders>
            <w:shd w:val="clear" w:color="auto" w:fill="auto"/>
            <w:noWrap/>
            <w:vAlign w:val="center"/>
            <w:hideMark/>
          </w:tcPr>
          <w:p w14:paraId="215A69BE" w14:textId="77777777" w:rsidR="00706A40" w:rsidRPr="007F2D4C" w:rsidRDefault="00706A40">
            <w:pPr>
              <w:jc w:val="right"/>
              <w:rPr>
                <w:sz w:val="20"/>
                <w:szCs w:val="20"/>
              </w:rPr>
            </w:pPr>
            <w:r w:rsidRPr="007F2D4C">
              <w:rPr>
                <w:sz w:val="20"/>
                <w:szCs w:val="20"/>
              </w:rPr>
              <w:t>2.555.837.800,00</w:t>
            </w:r>
          </w:p>
        </w:tc>
      </w:tr>
      <w:tr w:rsidR="00706A40" w:rsidRPr="007F2D4C" w14:paraId="0618389B" w14:textId="77777777" w:rsidTr="00706A40">
        <w:trPr>
          <w:trHeight w:val="7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FB6CC" w14:textId="77777777" w:rsidR="00706A40" w:rsidRPr="007F2D4C" w:rsidRDefault="00706A40">
            <w:pPr>
              <w:jc w:val="center"/>
              <w:rPr>
                <w:sz w:val="20"/>
                <w:szCs w:val="20"/>
              </w:rPr>
            </w:pPr>
            <w:r w:rsidRPr="007F2D4C">
              <w:rPr>
                <w:sz w:val="20"/>
                <w:szCs w:val="20"/>
              </w:rPr>
              <w:t>9.</w:t>
            </w:r>
          </w:p>
        </w:tc>
        <w:tc>
          <w:tcPr>
            <w:tcW w:w="4480" w:type="dxa"/>
            <w:tcBorders>
              <w:top w:val="nil"/>
              <w:left w:val="nil"/>
              <w:bottom w:val="single" w:sz="4" w:space="0" w:color="auto"/>
              <w:right w:val="single" w:sz="4" w:space="0" w:color="auto"/>
            </w:tcBorders>
            <w:shd w:val="clear" w:color="auto" w:fill="auto"/>
            <w:vAlign w:val="center"/>
            <w:hideMark/>
          </w:tcPr>
          <w:p w14:paraId="1BE49976" w14:textId="77777777" w:rsidR="00706A40" w:rsidRPr="007F2D4C" w:rsidRDefault="00706A40">
            <w:pPr>
              <w:rPr>
                <w:sz w:val="20"/>
                <w:szCs w:val="20"/>
              </w:rPr>
            </w:pPr>
            <w:r w:rsidRPr="007F2D4C">
              <w:rPr>
                <w:sz w:val="20"/>
                <w:szCs w:val="20"/>
              </w:rPr>
              <w:t>Privremena potpora radi smanjenja rizika od nezaposlenosti u izvanrednoj situaciji nakon izbijanja bolesti COVID-19 (SURE) - II. tranša</w:t>
            </w:r>
          </w:p>
        </w:tc>
        <w:tc>
          <w:tcPr>
            <w:tcW w:w="800" w:type="dxa"/>
            <w:tcBorders>
              <w:top w:val="nil"/>
              <w:left w:val="nil"/>
              <w:bottom w:val="single" w:sz="4" w:space="0" w:color="auto"/>
              <w:right w:val="single" w:sz="4" w:space="0" w:color="auto"/>
            </w:tcBorders>
            <w:shd w:val="clear" w:color="auto" w:fill="auto"/>
            <w:noWrap/>
            <w:vAlign w:val="center"/>
            <w:hideMark/>
          </w:tcPr>
          <w:p w14:paraId="2BE0062E" w14:textId="77777777" w:rsidR="00706A40" w:rsidRPr="007F2D4C" w:rsidRDefault="00706A40">
            <w:pPr>
              <w:jc w:val="center"/>
              <w:rPr>
                <w:sz w:val="20"/>
                <w:szCs w:val="20"/>
              </w:rPr>
            </w:pPr>
            <w:r w:rsidRPr="007F2D4C">
              <w:rPr>
                <w:sz w:val="20"/>
                <w:szCs w:val="20"/>
              </w:rPr>
              <w:t>EK</w:t>
            </w:r>
          </w:p>
        </w:tc>
        <w:tc>
          <w:tcPr>
            <w:tcW w:w="760" w:type="dxa"/>
            <w:tcBorders>
              <w:top w:val="nil"/>
              <w:left w:val="nil"/>
              <w:bottom w:val="single" w:sz="4" w:space="0" w:color="auto"/>
              <w:right w:val="single" w:sz="4" w:space="0" w:color="auto"/>
            </w:tcBorders>
            <w:shd w:val="clear" w:color="auto" w:fill="auto"/>
            <w:noWrap/>
            <w:vAlign w:val="center"/>
            <w:hideMark/>
          </w:tcPr>
          <w:p w14:paraId="4C59E309"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2F679F52" w14:textId="77777777" w:rsidR="00706A40" w:rsidRPr="007F2D4C" w:rsidRDefault="00706A40">
            <w:pPr>
              <w:jc w:val="right"/>
              <w:rPr>
                <w:sz w:val="20"/>
                <w:szCs w:val="20"/>
              </w:rPr>
            </w:pPr>
            <w:r w:rsidRPr="007F2D4C">
              <w:rPr>
                <w:sz w:val="20"/>
                <w:szCs w:val="20"/>
              </w:rPr>
              <w:t>170.000.000,00</w:t>
            </w:r>
          </w:p>
        </w:tc>
        <w:tc>
          <w:tcPr>
            <w:tcW w:w="1680" w:type="dxa"/>
            <w:tcBorders>
              <w:top w:val="nil"/>
              <w:left w:val="nil"/>
              <w:bottom w:val="single" w:sz="4" w:space="0" w:color="auto"/>
              <w:right w:val="single" w:sz="4" w:space="0" w:color="auto"/>
            </w:tcBorders>
            <w:shd w:val="clear" w:color="auto" w:fill="auto"/>
            <w:noWrap/>
            <w:vAlign w:val="center"/>
            <w:hideMark/>
          </w:tcPr>
          <w:p w14:paraId="3557D878" w14:textId="77777777" w:rsidR="00706A40" w:rsidRPr="007F2D4C" w:rsidRDefault="00706A40">
            <w:pPr>
              <w:jc w:val="right"/>
              <w:rPr>
                <w:sz w:val="20"/>
                <w:szCs w:val="20"/>
              </w:rPr>
            </w:pPr>
            <w:r w:rsidRPr="007F2D4C">
              <w:rPr>
                <w:sz w:val="20"/>
                <w:szCs w:val="20"/>
              </w:rPr>
              <w:t>1.277.918.900,00</w:t>
            </w:r>
          </w:p>
        </w:tc>
      </w:tr>
      <w:tr w:rsidR="00706A40" w:rsidRPr="007F2D4C" w14:paraId="554DFFE3" w14:textId="77777777" w:rsidTr="00706A40">
        <w:trPr>
          <w:trHeight w:val="78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050F2" w14:textId="77777777" w:rsidR="00706A40" w:rsidRPr="007F2D4C" w:rsidRDefault="00706A40">
            <w:pPr>
              <w:jc w:val="center"/>
              <w:rPr>
                <w:sz w:val="20"/>
                <w:szCs w:val="20"/>
              </w:rPr>
            </w:pPr>
            <w:r w:rsidRPr="007F2D4C">
              <w:rPr>
                <w:sz w:val="20"/>
                <w:szCs w:val="20"/>
              </w:rPr>
              <w:t>10.</w:t>
            </w:r>
          </w:p>
        </w:tc>
        <w:tc>
          <w:tcPr>
            <w:tcW w:w="4480" w:type="dxa"/>
            <w:tcBorders>
              <w:top w:val="nil"/>
              <w:left w:val="nil"/>
              <w:bottom w:val="single" w:sz="4" w:space="0" w:color="auto"/>
              <w:right w:val="single" w:sz="4" w:space="0" w:color="auto"/>
            </w:tcBorders>
            <w:shd w:val="clear" w:color="auto" w:fill="auto"/>
            <w:vAlign w:val="center"/>
            <w:hideMark/>
          </w:tcPr>
          <w:p w14:paraId="406E4E6C" w14:textId="77777777" w:rsidR="00706A40" w:rsidRPr="007F2D4C" w:rsidRDefault="00706A40">
            <w:pPr>
              <w:rPr>
                <w:sz w:val="20"/>
                <w:szCs w:val="20"/>
              </w:rPr>
            </w:pPr>
            <w:r w:rsidRPr="007F2D4C">
              <w:rPr>
                <w:sz w:val="20"/>
                <w:szCs w:val="20"/>
              </w:rPr>
              <w:t>Privremena potpora radi smanjenja rizika od nezaposlenosti u izvanrednoj situaciji nakon izbijanja bolesti COVID-19 (SURE) - III. tranša</w:t>
            </w:r>
          </w:p>
        </w:tc>
        <w:tc>
          <w:tcPr>
            <w:tcW w:w="800" w:type="dxa"/>
            <w:tcBorders>
              <w:top w:val="nil"/>
              <w:left w:val="nil"/>
              <w:bottom w:val="single" w:sz="4" w:space="0" w:color="auto"/>
              <w:right w:val="single" w:sz="4" w:space="0" w:color="auto"/>
            </w:tcBorders>
            <w:shd w:val="clear" w:color="auto" w:fill="auto"/>
            <w:noWrap/>
            <w:vAlign w:val="center"/>
            <w:hideMark/>
          </w:tcPr>
          <w:p w14:paraId="62C35E66" w14:textId="77777777" w:rsidR="00706A40" w:rsidRPr="007F2D4C" w:rsidRDefault="00706A40">
            <w:pPr>
              <w:jc w:val="center"/>
              <w:rPr>
                <w:sz w:val="20"/>
                <w:szCs w:val="20"/>
              </w:rPr>
            </w:pPr>
            <w:r w:rsidRPr="007F2D4C">
              <w:rPr>
                <w:sz w:val="20"/>
                <w:szCs w:val="20"/>
              </w:rPr>
              <w:t>EK</w:t>
            </w:r>
          </w:p>
        </w:tc>
        <w:tc>
          <w:tcPr>
            <w:tcW w:w="760" w:type="dxa"/>
            <w:tcBorders>
              <w:top w:val="nil"/>
              <w:left w:val="nil"/>
              <w:bottom w:val="single" w:sz="4" w:space="0" w:color="auto"/>
              <w:right w:val="single" w:sz="4" w:space="0" w:color="auto"/>
            </w:tcBorders>
            <w:shd w:val="clear" w:color="auto" w:fill="auto"/>
            <w:noWrap/>
            <w:vAlign w:val="center"/>
            <w:hideMark/>
          </w:tcPr>
          <w:p w14:paraId="7C094EBC" w14:textId="77777777" w:rsidR="00706A40" w:rsidRPr="007F2D4C" w:rsidRDefault="00706A40">
            <w:pPr>
              <w:jc w:val="center"/>
              <w:rPr>
                <w:sz w:val="20"/>
                <w:szCs w:val="20"/>
              </w:rPr>
            </w:pPr>
            <w:r w:rsidRPr="007F2D4C">
              <w:rPr>
                <w:sz w:val="20"/>
                <w:szCs w:val="20"/>
              </w:rPr>
              <w:t>EUR</w:t>
            </w:r>
          </w:p>
        </w:tc>
        <w:tc>
          <w:tcPr>
            <w:tcW w:w="1600" w:type="dxa"/>
            <w:tcBorders>
              <w:top w:val="nil"/>
              <w:left w:val="nil"/>
              <w:bottom w:val="single" w:sz="4" w:space="0" w:color="auto"/>
              <w:right w:val="single" w:sz="4" w:space="0" w:color="auto"/>
            </w:tcBorders>
            <w:shd w:val="clear" w:color="auto" w:fill="auto"/>
            <w:noWrap/>
            <w:vAlign w:val="center"/>
            <w:hideMark/>
          </w:tcPr>
          <w:p w14:paraId="0C1E80C8" w14:textId="77777777" w:rsidR="00706A40" w:rsidRPr="007F2D4C" w:rsidRDefault="00706A40">
            <w:pPr>
              <w:jc w:val="right"/>
              <w:rPr>
                <w:sz w:val="20"/>
                <w:szCs w:val="20"/>
              </w:rPr>
            </w:pPr>
            <w:r w:rsidRPr="007F2D4C">
              <w:rPr>
                <w:sz w:val="20"/>
                <w:szCs w:val="20"/>
              </w:rPr>
              <w:t>510.000.000,00</w:t>
            </w:r>
          </w:p>
        </w:tc>
        <w:tc>
          <w:tcPr>
            <w:tcW w:w="1680" w:type="dxa"/>
            <w:tcBorders>
              <w:top w:val="nil"/>
              <w:left w:val="nil"/>
              <w:bottom w:val="single" w:sz="4" w:space="0" w:color="auto"/>
              <w:right w:val="single" w:sz="4" w:space="0" w:color="auto"/>
            </w:tcBorders>
            <w:shd w:val="clear" w:color="auto" w:fill="auto"/>
            <w:noWrap/>
            <w:vAlign w:val="center"/>
            <w:hideMark/>
          </w:tcPr>
          <w:p w14:paraId="093F1D26" w14:textId="77777777" w:rsidR="00706A40" w:rsidRPr="007F2D4C" w:rsidRDefault="00706A40">
            <w:pPr>
              <w:jc w:val="right"/>
              <w:rPr>
                <w:sz w:val="20"/>
                <w:szCs w:val="20"/>
              </w:rPr>
            </w:pPr>
            <w:r w:rsidRPr="007F2D4C">
              <w:rPr>
                <w:sz w:val="20"/>
                <w:szCs w:val="20"/>
              </w:rPr>
              <w:t>3.833.756.700,00</w:t>
            </w:r>
          </w:p>
        </w:tc>
      </w:tr>
      <w:tr w:rsidR="00706A40" w:rsidRPr="007F2D4C" w14:paraId="797E3192" w14:textId="77777777" w:rsidTr="00706A40">
        <w:trPr>
          <w:trHeight w:val="315"/>
          <w:jc w:val="center"/>
        </w:trPr>
        <w:tc>
          <w:tcPr>
            <w:tcW w:w="506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C5E9370" w14:textId="77777777" w:rsidR="00706A40" w:rsidRPr="007F2D4C" w:rsidRDefault="00706A40">
            <w:pPr>
              <w:rPr>
                <w:b/>
                <w:bCs/>
                <w:sz w:val="20"/>
                <w:szCs w:val="20"/>
              </w:rPr>
            </w:pPr>
            <w:r w:rsidRPr="007F2D4C">
              <w:rPr>
                <w:b/>
                <w:bCs/>
                <w:sz w:val="20"/>
                <w:szCs w:val="20"/>
              </w:rPr>
              <w:t>UKUPNO</w:t>
            </w:r>
          </w:p>
        </w:tc>
        <w:tc>
          <w:tcPr>
            <w:tcW w:w="800" w:type="dxa"/>
            <w:tcBorders>
              <w:top w:val="double" w:sz="6" w:space="0" w:color="auto"/>
              <w:left w:val="nil"/>
              <w:bottom w:val="double" w:sz="6" w:space="0" w:color="auto"/>
              <w:right w:val="double" w:sz="6" w:space="0" w:color="auto"/>
            </w:tcBorders>
            <w:shd w:val="clear" w:color="auto" w:fill="auto"/>
            <w:noWrap/>
            <w:vAlign w:val="center"/>
            <w:hideMark/>
          </w:tcPr>
          <w:p w14:paraId="434AFFB6" w14:textId="77777777" w:rsidR="00706A40" w:rsidRPr="007F2D4C" w:rsidRDefault="00706A40">
            <w:pPr>
              <w:jc w:val="center"/>
              <w:rPr>
                <w:b/>
                <w:bCs/>
                <w:sz w:val="20"/>
                <w:szCs w:val="20"/>
              </w:rPr>
            </w:pPr>
            <w:r w:rsidRPr="007F2D4C">
              <w:rPr>
                <w:b/>
                <w:bCs/>
                <w:sz w:val="20"/>
                <w:szCs w:val="20"/>
              </w:rPr>
              <w:t>EK</w:t>
            </w:r>
          </w:p>
        </w:tc>
        <w:tc>
          <w:tcPr>
            <w:tcW w:w="760" w:type="dxa"/>
            <w:tcBorders>
              <w:top w:val="double" w:sz="6" w:space="0" w:color="auto"/>
              <w:left w:val="nil"/>
              <w:bottom w:val="double" w:sz="6" w:space="0" w:color="auto"/>
              <w:right w:val="double" w:sz="6" w:space="0" w:color="auto"/>
            </w:tcBorders>
            <w:shd w:val="clear" w:color="auto" w:fill="auto"/>
            <w:noWrap/>
            <w:vAlign w:val="center"/>
            <w:hideMark/>
          </w:tcPr>
          <w:p w14:paraId="2F40C2A8" w14:textId="77777777" w:rsidR="00706A40" w:rsidRPr="007F2D4C" w:rsidRDefault="00706A40">
            <w:pPr>
              <w:jc w:val="center"/>
              <w:rPr>
                <w:b/>
                <w:bCs/>
                <w:sz w:val="20"/>
                <w:szCs w:val="20"/>
              </w:rPr>
            </w:pPr>
            <w:r w:rsidRPr="007F2D4C">
              <w:rPr>
                <w:b/>
                <w:bCs/>
                <w:sz w:val="20"/>
                <w:szCs w:val="20"/>
              </w:rPr>
              <w:t>EUR</w:t>
            </w:r>
          </w:p>
        </w:tc>
        <w:tc>
          <w:tcPr>
            <w:tcW w:w="1600" w:type="dxa"/>
            <w:tcBorders>
              <w:top w:val="double" w:sz="6" w:space="0" w:color="auto"/>
              <w:left w:val="nil"/>
              <w:bottom w:val="double" w:sz="6" w:space="0" w:color="auto"/>
              <w:right w:val="double" w:sz="6" w:space="0" w:color="auto"/>
            </w:tcBorders>
            <w:shd w:val="clear" w:color="auto" w:fill="auto"/>
            <w:noWrap/>
            <w:vAlign w:val="center"/>
            <w:hideMark/>
          </w:tcPr>
          <w:p w14:paraId="62788331" w14:textId="77777777" w:rsidR="00706A40" w:rsidRPr="007F2D4C" w:rsidRDefault="00706A40">
            <w:pPr>
              <w:jc w:val="right"/>
              <w:rPr>
                <w:b/>
                <w:bCs/>
                <w:sz w:val="20"/>
                <w:szCs w:val="20"/>
              </w:rPr>
            </w:pPr>
            <w:r w:rsidRPr="007F2D4C">
              <w:rPr>
                <w:b/>
                <w:bCs/>
                <w:sz w:val="20"/>
                <w:szCs w:val="20"/>
              </w:rPr>
              <w:t>1.020.000.000,00</w:t>
            </w:r>
          </w:p>
        </w:tc>
        <w:tc>
          <w:tcPr>
            <w:tcW w:w="1680" w:type="dxa"/>
            <w:tcBorders>
              <w:top w:val="double" w:sz="6" w:space="0" w:color="auto"/>
              <w:left w:val="nil"/>
              <w:bottom w:val="double" w:sz="6" w:space="0" w:color="auto"/>
              <w:right w:val="double" w:sz="6" w:space="0" w:color="auto"/>
            </w:tcBorders>
            <w:shd w:val="clear" w:color="auto" w:fill="auto"/>
            <w:noWrap/>
            <w:vAlign w:val="center"/>
            <w:hideMark/>
          </w:tcPr>
          <w:p w14:paraId="444DD8AD" w14:textId="77777777" w:rsidR="00706A40" w:rsidRPr="007F2D4C" w:rsidRDefault="00706A40">
            <w:pPr>
              <w:jc w:val="right"/>
              <w:rPr>
                <w:b/>
                <w:bCs/>
                <w:sz w:val="20"/>
                <w:szCs w:val="20"/>
              </w:rPr>
            </w:pPr>
            <w:r w:rsidRPr="007F2D4C">
              <w:rPr>
                <w:b/>
                <w:bCs/>
                <w:sz w:val="20"/>
                <w:szCs w:val="20"/>
              </w:rPr>
              <w:t>7.667.513.400,00</w:t>
            </w:r>
          </w:p>
        </w:tc>
      </w:tr>
      <w:tr w:rsidR="00706A40" w:rsidRPr="007F2D4C" w14:paraId="4FACC2B0" w14:textId="77777777" w:rsidTr="00706A40">
        <w:trPr>
          <w:trHeight w:val="255"/>
          <w:jc w:val="center"/>
        </w:trPr>
        <w:tc>
          <w:tcPr>
            <w:tcW w:w="580" w:type="dxa"/>
            <w:tcBorders>
              <w:top w:val="nil"/>
              <w:left w:val="nil"/>
              <w:bottom w:val="nil"/>
              <w:right w:val="nil"/>
            </w:tcBorders>
            <w:shd w:val="clear" w:color="auto" w:fill="auto"/>
            <w:noWrap/>
            <w:vAlign w:val="center"/>
            <w:hideMark/>
          </w:tcPr>
          <w:p w14:paraId="7940AE3D" w14:textId="77777777" w:rsidR="00706A40" w:rsidRPr="007F2D4C" w:rsidRDefault="00706A40">
            <w:pPr>
              <w:jc w:val="right"/>
              <w:rPr>
                <w:b/>
                <w:bCs/>
                <w:sz w:val="20"/>
                <w:szCs w:val="20"/>
              </w:rPr>
            </w:pPr>
          </w:p>
        </w:tc>
        <w:tc>
          <w:tcPr>
            <w:tcW w:w="4480" w:type="dxa"/>
            <w:tcBorders>
              <w:top w:val="nil"/>
              <w:left w:val="nil"/>
              <w:bottom w:val="nil"/>
              <w:right w:val="nil"/>
            </w:tcBorders>
            <w:shd w:val="clear" w:color="auto" w:fill="auto"/>
            <w:noWrap/>
            <w:vAlign w:val="center"/>
            <w:hideMark/>
          </w:tcPr>
          <w:p w14:paraId="41695245" w14:textId="77777777" w:rsidR="00706A40" w:rsidRPr="007F2D4C" w:rsidRDefault="00706A40">
            <w:pPr>
              <w:rPr>
                <w:sz w:val="20"/>
                <w:szCs w:val="20"/>
              </w:rPr>
            </w:pPr>
          </w:p>
        </w:tc>
        <w:tc>
          <w:tcPr>
            <w:tcW w:w="800" w:type="dxa"/>
            <w:tcBorders>
              <w:top w:val="nil"/>
              <w:left w:val="nil"/>
              <w:bottom w:val="nil"/>
              <w:right w:val="nil"/>
            </w:tcBorders>
            <w:shd w:val="clear" w:color="auto" w:fill="auto"/>
            <w:noWrap/>
            <w:vAlign w:val="center"/>
            <w:hideMark/>
          </w:tcPr>
          <w:p w14:paraId="00860181" w14:textId="77777777" w:rsidR="00706A40" w:rsidRPr="007F2D4C" w:rsidRDefault="00706A40">
            <w:pPr>
              <w:rPr>
                <w:sz w:val="20"/>
                <w:szCs w:val="20"/>
              </w:rPr>
            </w:pPr>
          </w:p>
        </w:tc>
        <w:tc>
          <w:tcPr>
            <w:tcW w:w="760" w:type="dxa"/>
            <w:tcBorders>
              <w:top w:val="nil"/>
              <w:left w:val="nil"/>
              <w:bottom w:val="single" w:sz="4" w:space="0" w:color="auto"/>
              <w:right w:val="nil"/>
            </w:tcBorders>
            <w:shd w:val="clear" w:color="auto" w:fill="auto"/>
            <w:noWrap/>
            <w:vAlign w:val="center"/>
            <w:hideMark/>
          </w:tcPr>
          <w:p w14:paraId="2FF45C93" w14:textId="77777777" w:rsidR="00706A40" w:rsidRPr="007F2D4C" w:rsidRDefault="00706A40">
            <w:pPr>
              <w:jc w:val="center"/>
              <w:rPr>
                <w:b/>
                <w:bCs/>
                <w:sz w:val="20"/>
                <w:szCs w:val="20"/>
              </w:rPr>
            </w:pPr>
            <w:r w:rsidRPr="007F2D4C">
              <w:rPr>
                <w:b/>
                <w:bCs/>
                <w:sz w:val="20"/>
                <w:szCs w:val="20"/>
              </w:rPr>
              <w:t> </w:t>
            </w:r>
          </w:p>
        </w:tc>
        <w:tc>
          <w:tcPr>
            <w:tcW w:w="1600" w:type="dxa"/>
            <w:tcBorders>
              <w:top w:val="nil"/>
              <w:left w:val="nil"/>
              <w:bottom w:val="single" w:sz="4" w:space="0" w:color="auto"/>
              <w:right w:val="nil"/>
            </w:tcBorders>
            <w:shd w:val="clear" w:color="auto" w:fill="auto"/>
            <w:noWrap/>
            <w:vAlign w:val="center"/>
            <w:hideMark/>
          </w:tcPr>
          <w:p w14:paraId="4C903B69" w14:textId="77777777" w:rsidR="00706A40" w:rsidRPr="007F2D4C" w:rsidRDefault="00706A40">
            <w:pPr>
              <w:jc w:val="right"/>
              <w:rPr>
                <w:b/>
                <w:bCs/>
                <w:sz w:val="20"/>
                <w:szCs w:val="20"/>
              </w:rPr>
            </w:pPr>
            <w:r w:rsidRPr="007F2D4C">
              <w:rPr>
                <w:b/>
                <w:bCs/>
                <w:sz w:val="20"/>
                <w:szCs w:val="20"/>
              </w:rPr>
              <w:t> </w:t>
            </w:r>
          </w:p>
        </w:tc>
        <w:tc>
          <w:tcPr>
            <w:tcW w:w="1680" w:type="dxa"/>
            <w:tcBorders>
              <w:top w:val="nil"/>
              <w:left w:val="nil"/>
              <w:bottom w:val="single" w:sz="4" w:space="0" w:color="auto"/>
              <w:right w:val="nil"/>
            </w:tcBorders>
            <w:shd w:val="clear" w:color="auto" w:fill="auto"/>
            <w:noWrap/>
            <w:vAlign w:val="center"/>
            <w:hideMark/>
          </w:tcPr>
          <w:p w14:paraId="5443FF7A" w14:textId="77777777" w:rsidR="00706A40" w:rsidRPr="007F2D4C" w:rsidRDefault="00706A40">
            <w:pPr>
              <w:jc w:val="right"/>
              <w:rPr>
                <w:sz w:val="20"/>
                <w:szCs w:val="20"/>
              </w:rPr>
            </w:pPr>
            <w:r w:rsidRPr="007F2D4C">
              <w:rPr>
                <w:sz w:val="20"/>
                <w:szCs w:val="20"/>
              </w:rPr>
              <w:t> </w:t>
            </w:r>
          </w:p>
        </w:tc>
      </w:tr>
      <w:tr w:rsidR="00706A40" w:rsidRPr="007F2D4C" w14:paraId="16C7F80D" w14:textId="77777777" w:rsidTr="00706A40">
        <w:trPr>
          <w:trHeight w:val="315"/>
          <w:jc w:val="center"/>
        </w:trPr>
        <w:tc>
          <w:tcPr>
            <w:tcW w:w="586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B5ABD6" w14:textId="77777777" w:rsidR="00706A40" w:rsidRPr="007F2D4C" w:rsidRDefault="00706A40">
            <w:pPr>
              <w:rPr>
                <w:b/>
                <w:bCs/>
                <w:sz w:val="20"/>
                <w:szCs w:val="20"/>
              </w:rPr>
            </w:pPr>
            <w:r w:rsidRPr="007F2D4C">
              <w:rPr>
                <w:b/>
                <w:bCs/>
                <w:sz w:val="20"/>
                <w:szCs w:val="20"/>
              </w:rPr>
              <w:t>SVEUKUPNO</w:t>
            </w:r>
          </w:p>
        </w:tc>
        <w:tc>
          <w:tcPr>
            <w:tcW w:w="760" w:type="dxa"/>
            <w:tcBorders>
              <w:top w:val="single" w:sz="12" w:space="0" w:color="auto"/>
              <w:left w:val="nil"/>
              <w:bottom w:val="single" w:sz="12" w:space="0" w:color="auto"/>
              <w:right w:val="single" w:sz="12" w:space="0" w:color="auto"/>
            </w:tcBorders>
            <w:shd w:val="clear" w:color="auto" w:fill="auto"/>
            <w:noWrap/>
            <w:vAlign w:val="center"/>
            <w:hideMark/>
          </w:tcPr>
          <w:p w14:paraId="218DF8AD" w14:textId="77777777" w:rsidR="00706A40" w:rsidRPr="007F2D4C" w:rsidRDefault="00706A40">
            <w:pPr>
              <w:jc w:val="center"/>
              <w:rPr>
                <w:b/>
                <w:bCs/>
                <w:sz w:val="20"/>
                <w:szCs w:val="20"/>
              </w:rPr>
            </w:pPr>
            <w:r w:rsidRPr="007F2D4C">
              <w:rPr>
                <w:b/>
                <w:bCs/>
                <w:sz w:val="20"/>
                <w:szCs w:val="20"/>
              </w:rPr>
              <w:t>EUR</w:t>
            </w:r>
          </w:p>
        </w:tc>
        <w:tc>
          <w:tcPr>
            <w:tcW w:w="1600" w:type="dxa"/>
            <w:tcBorders>
              <w:top w:val="single" w:sz="12" w:space="0" w:color="auto"/>
              <w:left w:val="nil"/>
              <w:bottom w:val="single" w:sz="12" w:space="0" w:color="auto"/>
              <w:right w:val="single" w:sz="12" w:space="0" w:color="auto"/>
            </w:tcBorders>
            <w:shd w:val="clear" w:color="auto" w:fill="auto"/>
            <w:noWrap/>
            <w:vAlign w:val="center"/>
            <w:hideMark/>
          </w:tcPr>
          <w:p w14:paraId="5E89C6B5" w14:textId="77777777" w:rsidR="00706A40" w:rsidRPr="007F2D4C" w:rsidRDefault="00706A40">
            <w:pPr>
              <w:jc w:val="right"/>
              <w:rPr>
                <w:b/>
                <w:bCs/>
                <w:sz w:val="20"/>
                <w:szCs w:val="20"/>
              </w:rPr>
            </w:pPr>
            <w:r w:rsidRPr="007F2D4C">
              <w:rPr>
                <w:b/>
                <w:bCs/>
                <w:sz w:val="20"/>
                <w:szCs w:val="20"/>
              </w:rPr>
              <w:t>1.668.450.934,13</w:t>
            </w:r>
          </w:p>
        </w:tc>
        <w:tc>
          <w:tcPr>
            <w:tcW w:w="1680" w:type="dxa"/>
            <w:tcBorders>
              <w:top w:val="single" w:sz="12" w:space="0" w:color="auto"/>
              <w:left w:val="nil"/>
              <w:bottom w:val="single" w:sz="12" w:space="0" w:color="auto"/>
              <w:right w:val="single" w:sz="12" w:space="0" w:color="auto"/>
            </w:tcBorders>
            <w:shd w:val="clear" w:color="auto" w:fill="auto"/>
            <w:noWrap/>
            <w:vAlign w:val="center"/>
            <w:hideMark/>
          </w:tcPr>
          <w:p w14:paraId="669900FE" w14:textId="77777777" w:rsidR="00706A40" w:rsidRPr="007F2D4C" w:rsidRDefault="00706A40">
            <w:pPr>
              <w:jc w:val="right"/>
              <w:rPr>
                <w:b/>
                <w:bCs/>
                <w:sz w:val="20"/>
                <w:szCs w:val="20"/>
              </w:rPr>
            </w:pPr>
            <w:r w:rsidRPr="007F2D4C">
              <w:rPr>
                <w:b/>
                <w:bCs/>
                <w:sz w:val="20"/>
                <w:szCs w:val="20"/>
              </w:rPr>
              <w:t>12.542.029.308,51</w:t>
            </w:r>
          </w:p>
        </w:tc>
      </w:tr>
    </w:tbl>
    <w:p w14:paraId="5E344934" w14:textId="5EC273E1" w:rsidR="00706A40" w:rsidRDefault="00706A40" w:rsidP="00187157">
      <w:pPr>
        <w:keepNext/>
        <w:jc w:val="both"/>
        <w:rPr>
          <w:b/>
          <w:sz w:val="20"/>
          <w:szCs w:val="20"/>
          <w:highlight w:val="red"/>
        </w:rPr>
      </w:pPr>
    </w:p>
    <w:p w14:paraId="64E45E45" w14:textId="5EA873B3" w:rsidR="00706A40" w:rsidRDefault="00706A40" w:rsidP="00187157">
      <w:pPr>
        <w:keepNext/>
        <w:jc w:val="both"/>
        <w:rPr>
          <w:b/>
          <w:sz w:val="20"/>
          <w:szCs w:val="20"/>
          <w:highlight w:val="red"/>
        </w:rPr>
      </w:pPr>
    </w:p>
    <w:p w14:paraId="5BFCE0B1" w14:textId="4F08EF72" w:rsidR="00706A40" w:rsidRPr="00E8297D" w:rsidRDefault="00706A40" w:rsidP="00187157">
      <w:pPr>
        <w:keepNext/>
        <w:jc w:val="both"/>
        <w:rPr>
          <w:b/>
          <w:sz w:val="20"/>
          <w:szCs w:val="20"/>
          <w:highlight w:val="red"/>
        </w:rPr>
      </w:pPr>
    </w:p>
    <w:p w14:paraId="6EEB5FEB" w14:textId="4278C2C6" w:rsidR="00187157" w:rsidRPr="00C85DCC" w:rsidRDefault="00ED1991" w:rsidP="00187157">
      <w:pPr>
        <w:jc w:val="center"/>
        <w:rPr>
          <w:bCs/>
          <w:sz w:val="28"/>
          <w:szCs w:val="28"/>
        </w:rPr>
      </w:pPr>
      <w:r>
        <w:rPr>
          <w:bCs/>
          <w:sz w:val="28"/>
          <w:szCs w:val="28"/>
        </w:rPr>
        <w:t>Bilješka 28</w:t>
      </w:r>
      <w:r w:rsidR="00187157" w:rsidRPr="00C85DCC">
        <w:rPr>
          <w:bCs/>
          <w:sz w:val="28"/>
          <w:szCs w:val="28"/>
        </w:rPr>
        <w:t>.</w:t>
      </w:r>
    </w:p>
    <w:p w14:paraId="56CBAE22" w14:textId="3B4A4938" w:rsidR="00187157" w:rsidRPr="00C2390B" w:rsidRDefault="007D12F1" w:rsidP="00187157">
      <w:pPr>
        <w:jc w:val="center"/>
        <w:rPr>
          <w:bCs/>
          <w:sz w:val="28"/>
          <w:szCs w:val="28"/>
        </w:rPr>
      </w:pPr>
      <w:r w:rsidRPr="00C2390B">
        <w:rPr>
          <w:bCs/>
          <w:sz w:val="28"/>
          <w:szCs w:val="28"/>
        </w:rPr>
        <w:t>AOP 221</w:t>
      </w:r>
      <w:r w:rsidR="00187157" w:rsidRPr="00C2390B">
        <w:rPr>
          <w:bCs/>
          <w:sz w:val="28"/>
          <w:szCs w:val="28"/>
        </w:rPr>
        <w:t xml:space="preserve"> Obveze za zajmove od inozemnih vlada u EU </w:t>
      </w:r>
    </w:p>
    <w:p w14:paraId="5EE4409E" w14:textId="2F86E137" w:rsidR="00187157" w:rsidRDefault="007938BE" w:rsidP="00187157">
      <w:pPr>
        <w:jc w:val="both"/>
        <w:rPr>
          <w:bCs/>
          <w:szCs w:val="28"/>
        </w:rPr>
      </w:pPr>
      <w:r>
        <w:rPr>
          <w:bCs/>
          <w:szCs w:val="28"/>
        </w:rPr>
        <w:t>Stanje na 1. siječnja 2021. u i</w:t>
      </w:r>
      <w:r w:rsidR="00BA156D" w:rsidRPr="00C2390B">
        <w:rPr>
          <w:bCs/>
          <w:szCs w:val="28"/>
        </w:rPr>
        <w:t>znos</w:t>
      </w:r>
      <w:r>
        <w:rPr>
          <w:bCs/>
          <w:szCs w:val="28"/>
        </w:rPr>
        <w:t>u</w:t>
      </w:r>
      <w:r w:rsidR="00BA156D" w:rsidRPr="00C2390B">
        <w:rPr>
          <w:bCs/>
          <w:szCs w:val="28"/>
        </w:rPr>
        <w:t xml:space="preserve"> od 1.960.881</w:t>
      </w:r>
      <w:r w:rsidR="00187157" w:rsidRPr="00C2390B">
        <w:rPr>
          <w:bCs/>
          <w:szCs w:val="28"/>
        </w:rPr>
        <w:t xml:space="preserve"> </w:t>
      </w:r>
      <w:r>
        <w:rPr>
          <w:bCs/>
        </w:rPr>
        <w:t>kuna</w:t>
      </w:r>
      <w:r w:rsidR="00187157" w:rsidRPr="00C2390B">
        <w:rPr>
          <w:bCs/>
          <w:szCs w:val="28"/>
        </w:rPr>
        <w:t xml:space="preserve"> (</w:t>
      </w:r>
      <w:r w:rsidR="009E2914" w:rsidRPr="00C2390B">
        <w:rPr>
          <w:bCs/>
          <w:szCs w:val="28"/>
        </w:rPr>
        <w:t>260.170,73</w:t>
      </w:r>
      <w:r w:rsidR="00187157" w:rsidRPr="00C2390B">
        <w:rPr>
          <w:bCs/>
          <w:szCs w:val="28"/>
        </w:rPr>
        <w:t xml:space="preserve"> EUR) odnosi se na obveze</w:t>
      </w:r>
      <w:r w:rsidR="00955EE1" w:rsidRPr="00C2390B">
        <w:rPr>
          <w:bCs/>
          <w:szCs w:val="28"/>
        </w:rPr>
        <w:t xml:space="preserve"> za zajmove Kraljevine Belgije.</w:t>
      </w:r>
    </w:p>
    <w:p w14:paraId="15E97C14" w14:textId="2B5786FB" w:rsidR="00955EE1" w:rsidRPr="00C2390B" w:rsidRDefault="004E6EC8" w:rsidP="00187157">
      <w:pPr>
        <w:jc w:val="both"/>
        <w:rPr>
          <w:bCs/>
          <w:szCs w:val="28"/>
        </w:rPr>
      </w:pPr>
      <w:r>
        <w:rPr>
          <w:bCs/>
          <w:szCs w:val="28"/>
        </w:rPr>
        <w:t xml:space="preserve">Stanje na dan 31. prosinca 2021. iznosi </w:t>
      </w:r>
      <w:r w:rsidRPr="004E6EC8">
        <w:rPr>
          <w:bCs/>
          <w:szCs w:val="28"/>
        </w:rPr>
        <w:t>264.477.331,80</w:t>
      </w:r>
      <w:r>
        <w:rPr>
          <w:bCs/>
          <w:szCs w:val="28"/>
        </w:rPr>
        <w:t xml:space="preserve"> kuna, a uključuje obveze na zajmove Kraljevine Belgije te u 2021. obvezu za zajam u i</w:t>
      </w:r>
      <w:r w:rsidR="00955EE1" w:rsidRPr="00C2390B">
        <w:rPr>
          <w:bCs/>
          <w:szCs w:val="28"/>
        </w:rPr>
        <w:t>znos</w:t>
      </w:r>
      <w:r>
        <w:rPr>
          <w:bCs/>
          <w:szCs w:val="28"/>
        </w:rPr>
        <w:t>u</w:t>
      </w:r>
      <w:r w:rsidR="00955EE1" w:rsidRPr="00C2390B">
        <w:rPr>
          <w:bCs/>
          <w:szCs w:val="28"/>
        </w:rPr>
        <w:t xml:space="preserve"> od</w:t>
      </w:r>
      <w:r w:rsidR="00955EE1" w:rsidRPr="00C2390B">
        <w:t xml:space="preserve"> </w:t>
      </w:r>
      <w:r w:rsidR="00955EE1" w:rsidRPr="00C2390B">
        <w:rPr>
          <w:bCs/>
          <w:szCs w:val="28"/>
        </w:rPr>
        <w:t xml:space="preserve">262.800.967,33 kuna </w:t>
      </w:r>
      <w:r>
        <w:rPr>
          <w:bCs/>
          <w:szCs w:val="28"/>
        </w:rPr>
        <w:t>koji se odnosi</w:t>
      </w:r>
      <w:r w:rsidR="00955EE1" w:rsidRPr="00C2390B">
        <w:rPr>
          <w:bCs/>
          <w:szCs w:val="28"/>
        </w:rPr>
        <w:t xml:space="preserve"> na zajam koji je 1956. godine odobren Narodnoj banci Jugoslavije, a čiji je dio temeljem sporazuma o preuzimanju duga po Pariškom klubu prema vjerovniku Saveznoj Republici Njemačkoj, preuzela Republika Hrvatska u iznosu od originalno 68.376.000 DEM beskamatno s dospijećem 10.3.2055.</w:t>
      </w:r>
    </w:p>
    <w:p w14:paraId="7A1D58E0" w14:textId="77777777" w:rsidR="00B852EF" w:rsidRPr="00C2390B" w:rsidRDefault="00B852EF" w:rsidP="00187157">
      <w:pPr>
        <w:jc w:val="both"/>
        <w:rPr>
          <w:bCs/>
          <w:szCs w:val="28"/>
        </w:rPr>
      </w:pPr>
    </w:p>
    <w:p w14:paraId="6AD03651" w14:textId="47BDE760" w:rsidR="00F516AA" w:rsidRPr="00C2390B" w:rsidRDefault="00ED1991" w:rsidP="00B852EF">
      <w:pPr>
        <w:keepNext/>
        <w:jc w:val="both"/>
        <w:rPr>
          <w:b/>
          <w:sz w:val="20"/>
          <w:szCs w:val="20"/>
        </w:rPr>
      </w:pPr>
      <w:r>
        <w:rPr>
          <w:b/>
          <w:sz w:val="20"/>
          <w:szCs w:val="20"/>
        </w:rPr>
        <w:t>Tablica 16</w:t>
      </w:r>
      <w:r w:rsidR="00B852EF" w:rsidRPr="00C2390B">
        <w:rPr>
          <w:b/>
          <w:sz w:val="20"/>
          <w:szCs w:val="20"/>
        </w:rPr>
        <w:t xml:space="preserve">. </w:t>
      </w:r>
    </w:p>
    <w:tbl>
      <w:tblPr>
        <w:tblW w:w="0" w:type="auto"/>
        <w:tblLook w:val="04A0" w:firstRow="1" w:lastRow="0" w:firstColumn="1" w:lastColumn="0" w:noHBand="0" w:noVBand="1"/>
      </w:tblPr>
      <w:tblGrid>
        <w:gridCol w:w="1083"/>
        <w:gridCol w:w="2149"/>
        <w:gridCol w:w="772"/>
        <w:gridCol w:w="794"/>
        <w:gridCol w:w="2491"/>
        <w:gridCol w:w="2083"/>
      </w:tblGrid>
      <w:tr w:rsidR="00F516AA" w:rsidRPr="007F2D4C" w14:paraId="2A0B6964" w14:textId="77777777" w:rsidTr="007F2D4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8AA2C" w14:textId="77777777" w:rsidR="00F516AA" w:rsidRPr="007F2D4C" w:rsidRDefault="00F516AA">
            <w:pPr>
              <w:jc w:val="center"/>
              <w:rPr>
                <w:b/>
                <w:bCs/>
                <w:sz w:val="20"/>
                <w:szCs w:val="20"/>
              </w:rPr>
            </w:pPr>
            <w:r w:rsidRPr="007F2D4C">
              <w:rPr>
                <w:b/>
                <w:bCs/>
                <w:sz w:val="20"/>
                <w:szCs w:val="20"/>
              </w:rPr>
              <w:t>Red. broj</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C52D61" w14:textId="77777777" w:rsidR="00F516AA" w:rsidRPr="007F2D4C" w:rsidRDefault="00F516AA">
            <w:pPr>
              <w:jc w:val="center"/>
              <w:rPr>
                <w:b/>
                <w:bCs/>
                <w:sz w:val="20"/>
                <w:szCs w:val="20"/>
              </w:rPr>
            </w:pPr>
            <w:r w:rsidRPr="007F2D4C">
              <w:rPr>
                <w:b/>
                <w:bCs/>
                <w:sz w:val="20"/>
                <w:szCs w:val="20"/>
              </w:rPr>
              <w:t>Namjena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6AC272" w14:textId="77777777" w:rsidR="00F516AA" w:rsidRPr="007F2D4C" w:rsidRDefault="00F516AA">
            <w:pPr>
              <w:jc w:val="center"/>
              <w:rPr>
                <w:b/>
                <w:bCs/>
                <w:sz w:val="20"/>
                <w:szCs w:val="20"/>
              </w:rPr>
            </w:pPr>
            <w:r w:rsidRPr="007F2D4C">
              <w:rPr>
                <w:b/>
                <w:bCs/>
                <w:sz w:val="20"/>
                <w:szCs w:val="20"/>
              </w:rPr>
              <w:t>Banka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B271F3" w14:textId="77777777" w:rsidR="00F516AA" w:rsidRPr="007F2D4C" w:rsidRDefault="00F516AA">
            <w:pPr>
              <w:jc w:val="center"/>
              <w:rPr>
                <w:b/>
                <w:bCs/>
                <w:sz w:val="20"/>
                <w:szCs w:val="20"/>
              </w:rPr>
            </w:pPr>
            <w:r w:rsidRPr="007F2D4C">
              <w:rPr>
                <w:b/>
                <w:bCs/>
                <w:sz w:val="20"/>
                <w:szCs w:val="20"/>
              </w:rPr>
              <w:t>Valuta</w:t>
            </w:r>
          </w:p>
        </w:tc>
        <w:tc>
          <w:tcPr>
            <w:tcW w:w="0" w:type="auto"/>
            <w:tcBorders>
              <w:top w:val="single" w:sz="4" w:space="0" w:color="auto"/>
              <w:left w:val="nil"/>
              <w:bottom w:val="nil"/>
              <w:right w:val="single" w:sz="4" w:space="0" w:color="auto"/>
            </w:tcBorders>
            <w:shd w:val="clear" w:color="auto" w:fill="auto"/>
            <w:vAlign w:val="center"/>
            <w:hideMark/>
          </w:tcPr>
          <w:p w14:paraId="63CA2548" w14:textId="77777777" w:rsidR="00F516AA" w:rsidRPr="007F2D4C" w:rsidRDefault="00F516AA">
            <w:pPr>
              <w:jc w:val="center"/>
              <w:rPr>
                <w:b/>
                <w:bCs/>
                <w:sz w:val="20"/>
                <w:szCs w:val="20"/>
              </w:rPr>
            </w:pPr>
            <w:r w:rsidRPr="007F2D4C">
              <w:rPr>
                <w:b/>
                <w:bCs/>
                <w:sz w:val="20"/>
                <w:szCs w:val="20"/>
              </w:rPr>
              <w:t>Stanje obveza na dan 31.12.2021.(</w:t>
            </w:r>
            <w:proofErr w:type="spellStart"/>
            <w:r w:rsidRPr="007F2D4C">
              <w:rPr>
                <w:b/>
                <w:bCs/>
                <w:sz w:val="20"/>
                <w:szCs w:val="20"/>
              </w:rPr>
              <w:t>org.val</w:t>
            </w:r>
            <w:proofErr w:type="spellEnd"/>
            <w:r w:rsidRPr="007F2D4C">
              <w:rPr>
                <w:b/>
                <w:bCs/>
                <w:sz w:val="20"/>
                <w:szCs w:val="20"/>
              </w:rPr>
              <w:t>.)</w:t>
            </w:r>
          </w:p>
        </w:tc>
        <w:tc>
          <w:tcPr>
            <w:tcW w:w="0" w:type="auto"/>
            <w:tcBorders>
              <w:top w:val="single" w:sz="4" w:space="0" w:color="auto"/>
              <w:left w:val="nil"/>
              <w:bottom w:val="nil"/>
              <w:right w:val="single" w:sz="4" w:space="0" w:color="auto"/>
            </w:tcBorders>
            <w:shd w:val="clear" w:color="auto" w:fill="auto"/>
            <w:vAlign w:val="center"/>
            <w:hideMark/>
          </w:tcPr>
          <w:p w14:paraId="5D052939" w14:textId="77777777" w:rsidR="00F516AA" w:rsidRPr="007F2D4C" w:rsidRDefault="00F516AA">
            <w:pPr>
              <w:jc w:val="center"/>
              <w:rPr>
                <w:b/>
                <w:bCs/>
                <w:sz w:val="20"/>
                <w:szCs w:val="20"/>
              </w:rPr>
            </w:pPr>
            <w:r w:rsidRPr="007F2D4C">
              <w:rPr>
                <w:b/>
                <w:bCs/>
                <w:sz w:val="20"/>
                <w:szCs w:val="20"/>
              </w:rPr>
              <w:t>Stanje obveza na 31.12.2021. u kunama</w:t>
            </w:r>
          </w:p>
        </w:tc>
      </w:tr>
      <w:tr w:rsidR="00F516AA" w:rsidRPr="007F2D4C" w14:paraId="17957E36" w14:textId="77777777" w:rsidTr="007F2D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D6FA92" w14:textId="77777777" w:rsidR="00F516AA" w:rsidRPr="007F2D4C" w:rsidRDefault="00F516AA">
            <w:pPr>
              <w:jc w:val="center"/>
              <w:rPr>
                <w:sz w:val="20"/>
                <w:szCs w:val="20"/>
              </w:rPr>
            </w:pPr>
            <w:r w:rsidRPr="007F2D4C">
              <w:rPr>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C577353" w14:textId="77777777" w:rsidR="00F516AA" w:rsidRPr="007F2D4C" w:rsidRDefault="00F516AA">
            <w:pPr>
              <w:rPr>
                <w:sz w:val="20"/>
                <w:szCs w:val="20"/>
              </w:rPr>
            </w:pPr>
            <w:r w:rsidRPr="007F2D4C">
              <w:rPr>
                <w:sz w:val="20"/>
                <w:szCs w:val="20"/>
              </w:rPr>
              <w:t xml:space="preserve">Kraljevina Belgija </w:t>
            </w:r>
            <w:proofErr w:type="spellStart"/>
            <w:r w:rsidRPr="007F2D4C">
              <w:rPr>
                <w:sz w:val="20"/>
                <w:szCs w:val="20"/>
              </w:rPr>
              <w:t>Loan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1F03183" w14:textId="77777777" w:rsidR="00F516AA" w:rsidRPr="007F2D4C" w:rsidRDefault="00F516AA">
            <w:pPr>
              <w:jc w:val="center"/>
              <w:rPr>
                <w:sz w:val="20"/>
                <w:szCs w:val="20"/>
              </w:rPr>
            </w:pPr>
            <w:r w:rsidRPr="007F2D4C">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6A839D2" w14:textId="77777777" w:rsidR="00F516AA" w:rsidRPr="007F2D4C" w:rsidRDefault="00F516AA">
            <w:pPr>
              <w:jc w:val="center"/>
              <w:rPr>
                <w:sz w:val="20"/>
                <w:szCs w:val="20"/>
              </w:rPr>
            </w:pPr>
            <w:r w:rsidRPr="007F2D4C">
              <w:rPr>
                <w:sz w:val="20"/>
                <w:szCs w:val="20"/>
              </w:rPr>
              <w:t>EUR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BEEEDA" w14:textId="77777777" w:rsidR="00F516AA" w:rsidRPr="007F2D4C" w:rsidRDefault="00F516AA">
            <w:pPr>
              <w:jc w:val="right"/>
              <w:rPr>
                <w:sz w:val="20"/>
                <w:szCs w:val="20"/>
              </w:rPr>
            </w:pPr>
            <w:r w:rsidRPr="007F2D4C">
              <w:rPr>
                <w:sz w:val="20"/>
                <w:szCs w:val="20"/>
              </w:rPr>
              <w:t>223.004,73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DDF891" w14:textId="77777777" w:rsidR="00F516AA" w:rsidRPr="007F2D4C" w:rsidRDefault="00F516AA">
            <w:pPr>
              <w:jc w:val="right"/>
              <w:rPr>
                <w:sz w:val="20"/>
                <w:szCs w:val="20"/>
              </w:rPr>
            </w:pPr>
            <w:r w:rsidRPr="007F2D4C">
              <w:rPr>
                <w:sz w:val="20"/>
                <w:szCs w:val="20"/>
              </w:rPr>
              <w:t>1.676.364,47</w:t>
            </w:r>
          </w:p>
        </w:tc>
      </w:tr>
      <w:tr w:rsidR="00F516AA" w:rsidRPr="007F2D4C" w14:paraId="32353E2A" w14:textId="77777777" w:rsidTr="007F2D4C">
        <w:trPr>
          <w:trHeight w:val="270"/>
        </w:trPr>
        <w:tc>
          <w:tcPr>
            <w:tcW w:w="0" w:type="auto"/>
            <w:tcBorders>
              <w:top w:val="nil"/>
              <w:left w:val="single" w:sz="4" w:space="0" w:color="auto"/>
              <w:bottom w:val="double" w:sz="6" w:space="0" w:color="auto"/>
              <w:right w:val="single" w:sz="4" w:space="0" w:color="auto"/>
            </w:tcBorders>
            <w:shd w:val="clear" w:color="auto" w:fill="auto"/>
            <w:noWrap/>
            <w:vAlign w:val="center"/>
            <w:hideMark/>
          </w:tcPr>
          <w:p w14:paraId="5D17A58C" w14:textId="77777777" w:rsidR="00F516AA" w:rsidRPr="007F2D4C" w:rsidRDefault="00F516AA">
            <w:pPr>
              <w:jc w:val="center"/>
              <w:rPr>
                <w:sz w:val="20"/>
                <w:szCs w:val="20"/>
              </w:rPr>
            </w:pPr>
            <w:r w:rsidRPr="007F2D4C">
              <w:rPr>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6F36D415" w14:textId="77777777" w:rsidR="00F516AA" w:rsidRPr="007F2D4C" w:rsidRDefault="00F516AA">
            <w:pPr>
              <w:rPr>
                <w:sz w:val="20"/>
                <w:szCs w:val="20"/>
              </w:rPr>
            </w:pPr>
            <w:r w:rsidRPr="007F2D4C">
              <w:rPr>
                <w:sz w:val="20"/>
                <w:szCs w:val="20"/>
              </w:rPr>
              <w:t>Paris Club - 2055</w:t>
            </w:r>
          </w:p>
        </w:tc>
        <w:tc>
          <w:tcPr>
            <w:tcW w:w="0" w:type="auto"/>
            <w:tcBorders>
              <w:top w:val="nil"/>
              <w:left w:val="nil"/>
              <w:bottom w:val="single" w:sz="4" w:space="0" w:color="auto"/>
              <w:right w:val="single" w:sz="4" w:space="0" w:color="auto"/>
            </w:tcBorders>
            <w:shd w:val="clear" w:color="auto" w:fill="auto"/>
            <w:noWrap/>
            <w:vAlign w:val="center"/>
            <w:hideMark/>
          </w:tcPr>
          <w:p w14:paraId="25731CDF" w14:textId="77777777" w:rsidR="00F516AA" w:rsidRPr="007F2D4C" w:rsidRDefault="00F516AA">
            <w:pPr>
              <w:jc w:val="center"/>
              <w:rPr>
                <w:sz w:val="20"/>
                <w:szCs w:val="20"/>
              </w:rPr>
            </w:pPr>
            <w:r w:rsidRPr="007F2D4C">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C275893" w14:textId="77777777" w:rsidR="00F516AA" w:rsidRPr="007F2D4C" w:rsidRDefault="00F516AA">
            <w:pPr>
              <w:jc w:val="center"/>
              <w:rPr>
                <w:sz w:val="20"/>
                <w:szCs w:val="20"/>
              </w:rPr>
            </w:pPr>
            <w:r w:rsidRPr="007F2D4C">
              <w:rPr>
                <w:sz w:val="20"/>
                <w:szCs w:val="20"/>
              </w:rPr>
              <w:t>EUR</w:t>
            </w:r>
          </w:p>
        </w:tc>
        <w:tc>
          <w:tcPr>
            <w:tcW w:w="0" w:type="auto"/>
            <w:tcBorders>
              <w:top w:val="nil"/>
              <w:left w:val="nil"/>
              <w:bottom w:val="single" w:sz="4" w:space="0" w:color="auto"/>
              <w:right w:val="single" w:sz="4" w:space="0" w:color="auto"/>
            </w:tcBorders>
            <w:shd w:val="clear" w:color="auto" w:fill="auto"/>
            <w:noWrap/>
            <w:vAlign w:val="center"/>
            <w:hideMark/>
          </w:tcPr>
          <w:p w14:paraId="1C7DD6C5" w14:textId="77777777" w:rsidR="00F516AA" w:rsidRPr="007F2D4C" w:rsidRDefault="00F516AA">
            <w:pPr>
              <w:jc w:val="right"/>
              <w:rPr>
                <w:sz w:val="20"/>
                <w:szCs w:val="20"/>
              </w:rPr>
            </w:pPr>
            <w:r w:rsidRPr="007F2D4C">
              <w:rPr>
                <w:sz w:val="20"/>
                <w:szCs w:val="20"/>
              </w:rPr>
              <w:t>34.960.093,67</w:t>
            </w:r>
          </w:p>
        </w:tc>
        <w:tc>
          <w:tcPr>
            <w:tcW w:w="0" w:type="auto"/>
            <w:tcBorders>
              <w:top w:val="nil"/>
              <w:left w:val="nil"/>
              <w:bottom w:val="single" w:sz="4" w:space="0" w:color="auto"/>
              <w:right w:val="single" w:sz="4" w:space="0" w:color="auto"/>
            </w:tcBorders>
            <w:shd w:val="clear" w:color="auto" w:fill="auto"/>
            <w:noWrap/>
            <w:vAlign w:val="center"/>
            <w:hideMark/>
          </w:tcPr>
          <w:p w14:paraId="22A51577" w14:textId="77777777" w:rsidR="00F516AA" w:rsidRPr="007F2D4C" w:rsidRDefault="00F516AA">
            <w:pPr>
              <w:jc w:val="right"/>
              <w:rPr>
                <w:sz w:val="20"/>
                <w:szCs w:val="20"/>
              </w:rPr>
            </w:pPr>
            <w:r w:rsidRPr="007F2D4C">
              <w:rPr>
                <w:sz w:val="20"/>
                <w:szCs w:val="20"/>
              </w:rPr>
              <w:t>262.800.967,33</w:t>
            </w:r>
          </w:p>
        </w:tc>
      </w:tr>
      <w:tr w:rsidR="00F516AA" w:rsidRPr="007F2D4C" w14:paraId="4362DC43" w14:textId="77777777" w:rsidTr="007F2D4C">
        <w:trPr>
          <w:trHeight w:val="270"/>
        </w:trPr>
        <w:tc>
          <w:tcPr>
            <w:tcW w:w="0" w:type="auto"/>
            <w:tcBorders>
              <w:top w:val="nil"/>
              <w:left w:val="double" w:sz="6" w:space="0" w:color="auto"/>
              <w:bottom w:val="double" w:sz="6" w:space="0" w:color="auto"/>
              <w:right w:val="double" w:sz="6" w:space="0" w:color="auto"/>
            </w:tcBorders>
            <w:shd w:val="clear" w:color="auto" w:fill="auto"/>
            <w:noWrap/>
            <w:vAlign w:val="center"/>
            <w:hideMark/>
          </w:tcPr>
          <w:p w14:paraId="3F9E931F" w14:textId="77777777" w:rsidR="00F516AA" w:rsidRPr="007F2D4C" w:rsidRDefault="00F516AA">
            <w:pPr>
              <w:jc w:val="center"/>
              <w:rPr>
                <w:b/>
                <w:bCs/>
                <w:sz w:val="20"/>
                <w:szCs w:val="20"/>
              </w:rPr>
            </w:pPr>
            <w:r w:rsidRPr="007F2D4C">
              <w:rPr>
                <w:b/>
                <w:bCs/>
                <w:sz w:val="20"/>
                <w:szCs w:val="20"/>
              </w:rPr>
              <w:t>UKUPNO</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417ED923" w14:textId="77777777" w:rsidR="00F516AA" w:rsidRPr="007F2D4C" w:rsidRDefault="00F516AA">
            <w:pPr>
              <w:rPr>
                <w:sz w:val="20"/>
                <w:szCs w:val="20"/>
              </w:rPr>
            </w:pPr>
            <w:r w:rsidRPr="007F2D4C">
              <w:rPr>
                <w:sz w:val="20"/>
                <w:szCs w:val="20"/>
              </w:rPr>
              <w:t> </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3A5CFB7E" w14:textId="77777777" w:rsidR="00F516AA" w:rsidRPr="007F2D4C" w:rsidRDefault="00F516AA">
            <w:pPr>
              <w:jc w:val="center"/>
              <w:rPr>
                <w:sz w:val="20"/>
                <w:szCs w:val="20"/>
              </w:rPr>
            </w:pPr>
            <w:r w:rsidRPr="007F2D4C">
              <w:rPr>
                <w:sz w:val="20"/>
                <w:szCs w:val="20"/>
              </w:rPr>
              <w:t> </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1C28DA35" w14:textId="77777777" w:rsidR="00F516AA" w:rsidRPr="007F2D4C" w:rsidRDefault="00F516AA">
            <w:pPr>
              <w:jc w:val="center"/>
              <w:rPr>
                <w:b/>
                <w:bCs/>
                <w:sz w:val="20"/>
                <w:szCs w:val="20"/>
              </w:rPr>
            </w:pPr>
            <w:r w:rsidRPr="007F2D4C">
              <w:rPr>
                <w:b/>
                <w:bCs/>
                <w:sz w:val="20"/>
                <w:szCs w:val="20"/>
              </w:rPr>
              <w:t>EUR</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6647D707" w14:textId="77777777" w:rsidR="00F516AA" w:rsidRPr="007F2D4C" w:rsidRDefault="00F516AA">
            <w:pPr>
              <w:jc w:val="right"/>
              <w:rPr>
                <w:b/>
                <w:bCs/>
                <w:sz w:val="20"/>
                <w:szCs w:val="20"/>
              </w:rPr>
            </w:pPr>
            <w:r w:rsidRPr="007F2D4C">
              <w:rPr>
                <w:b/>
                <w:bCs/>
                <w:sz w:val="20"/>
                <w:szCs w:val="20"/>
              </w:rPr>
              <w:t>35.183.098,40</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14:paraId="6D111516" w14:textId="77777777" w:rsidR="00F516AA" w:rsidRPr="007F2D4C" w:rsidRDefault="00F516AA">
            <w:pPr>
              <w:jc w:val="right"/>
              <w:rPr>
                <w:b/>
                <w:bCs/>
                <w:sz w:val="20"/>
                <w:szCs w:val="20"/>
              </w:rPr>
            </w:pPr>
            <w:r w:rsidRPr="007F2D4C">
              <w:rPr>
                <w:b/>
                <w:bCs/>
                <w:sz w:val="20"/>
                <w:szCs w:val="20"/>
              </w:rPr>
              <w:t>264.477.331,80</w:t>
            </w:r>
          </w:p>
        </w:tc>
      </w:tr>
    </w:tbl>
    <w:p w14:paraId="1CBD0AFC" w14:textId="77777777" w:rsidR="00F516AA" w:rsidRPr="003B30B6" w:rsidRDefault="00F516AA" w:rsidP="00187157">
      <w:pPr>
        <w:jc w:val="both"/>
        <w:rPr>
          <w:bCs/>
          <w:szCs w:val="28"/>
        </w:rPr>
      </w:pPr>
    </w:p>
    <w:p w14:paraId="758FC74F" w14:textId="77777777" w:rsidR="00187157" w:rsidRPr="003B30B6" w:rsidRDefault="00187157" w:rsidP="00187157">
      <w:pPr>
        <w:jc w:val="center"/>
        <w:rPr>
          <w:bCs/>
        </w:rPr>
      </w:pPr>
    </w:p>
    <w:p w14:paraId="27DE20B4" w14:textId="0E2D3006" w:rsidR="00187157" w:rsidRPr="00C85DCC" w:rsidRDefault="00ED1991" w:rsidP="00904054">
      <w:pPr>
        <w:keepNext/>
        <w:jc w:val="center"/>
        <w:rPr>
          <w:bCs/>
          <w:sz w:val="28"/>
          <w:szCs w:val="28"/>
        </w:rPr>
      </w:pPr>
      <w:r>
        <w:rPr>
          <w:bCs/>
          <w:sz w:val="28"/>
          <w:szCs w:val="28"/>
        </w:rPr>
        <w:lastRenderedPageBreak/>
        <w:t>Bilješka 29</w:t>
      </w:r>
      <w:r w:rsidR="00187157" w:rsidRPr="00C85DCC">
        <w:rPr>
          <w:bCs/>
          <w:sz w:val="28"/>
          <w:szCs w:val="28"/>
        </w:rPr>
        <w:t>.</w:t>
      </w:r>
    </w:p>
    <w:p w14:paraId="0F996EBD" w14:textId="06441AC7" w:rsidR="00187157" w:rsidRPr="00C2390B" w:rsidRDefault="00BA156D" w:rsidP="005A02AC">
      <w:pPr>
        <w:keepNext/>
        <w:jc w:val="center"/>
        <w:rPr>
          <w:bCs/>
          <w:sz w:val="28"/>
          <w:szCs w:val="28"/>
        </w:rPr>
      </w:pPr>
      <w:r w:rsidRPr="00C2390B">
        <w:rPr>
          <w:bCs/>
          <w:sz w:val="28"/>
          <w:szCs w:val="28"/>
        </w:rPr>
        <w:t>AOP 228</w:t>
      </w:r>
      <w:r w:rsidR="00733F13" w:rsidRPr="00C2390B">
        <w:rPr>
          <w:bCs/>
          <w:sz w:val="28"/>
          <w:szCs w:val="28"/>
        </w:rPr>
        <w:t xml:space="preserve"> Odgođeno plaćanje rashoda i prihodi budućih razdoblja</w:t>
      </w:r>
    </w:p>
    <w:p w14:paraId="0C39F7DE" w14:textId="2443038D" w:rsidR="00187157" w:rsidRPr="003B30B6" w:rsidRDefault="00187157">
      <w:pPr>
        <w:keepNext/>
        <w:jc w:val="both"/>
        <w:rPr>
          <w:bCs/>
        </w:rPr>
      </w:pPr>
      <w:r w:rsidRPr="00C2390B">
        <w:rPr>
          <w:bCs/>
        </w:rPr>
        <w:t>Od ukupnog iznosa evidentiranog n</w:t>
      </w:r>
      <w:r w:rsidR="009E2914" w:rsidRPr="00C2390B">
        <w:rPr>
          <w:bCs/>
        </w:rPr>
        <w:t xml:space="preserve">a </w:t>
      </w:r>
      <w:r w:rsidR="00145346">
        <w:rPr>
          <w:bCs/>
        </w:rPr>
        <w:t>31. prosinca 2021. u iznosu od</w:t>
      </w:r>
      <w:r w:rsidR="009E2914" w:rsidRPr="00C2390B">
        <w:rPr>
          <w:bCs/>
        </w:rPr>
        <w:t xml:space="preserve"> </w:t>
      </w:r>
      <w:r w:rsidR="00733F13" w:rsidRPr="00C2390B">
        <w:rPr>
          <w:bCs/>
        </w:rPr>
        <w:t>854.265.485</w:t>
      </w:r>
      <w:r w:rsidR="009E2914" w:rsidRPr="00C2390B">
        <w:rPr>
          <w:bCs/>
        </w:rPr>
        <w:t xml:space="preserve"> </w:t>
      </w:r>
      <w:r w:rsidR="00733F13" w:rsidRPr="00C2390B">
        <w:rPr>
          <w:bCs/>
        </w:rPr>
        <w:t>kuna</w:t>
      </w:r>
      <w:r w:rsidR="009E2914" w:rsidRPr="00C2390B">
        <w:rPr>
          <w:bCs/>
        </w:rPr>
        <w:t>,</w:t>
      </w:r>
      <w:r w:rsidRPr="00C2390B">
        <w:rPr>
          <w:bCs/>
        </w:rPr>
        <w:t xml:space="preserve"> </w:t>
      </w:r>
      <w:r w:rsidR="009E2914" w:rsidRPr="00C2390B">
        <w:rPr>
          <w:bCs/>
        </w:rPr>
        <w:t xml:space="preserve">najznačajniji iznosi odnose se na premiju na obveznice u iznosu </w:t>
      </w:r>
      <w:r w:rsidRPr="00C2390B">
        <w:rPr>
          <w:bCs/>
        </w:rPr>
        <w:t xml:space="preserve">od </w:t>
      </w:r>
      <w:r w:rsidR="00733F13" w:rsidRPr="00C2390B">
        <w:rPr>
          <w:bCs/>
        </w:rPr>
        <w:t>782.305.090,42</w:t>
      </w:r>
      <w:r w:rsidRPr="00C2390B">
        <w:rPr>
          <w:bCs/>
        </w:rPr>
        <w:t xml:space="preserve"> </w:t>
      </w:r>
      <w:r w:rsidR="00FE019C" w:rsidRPr="00C2390B">
        <w:rPr>
          <w:bCs/>
        </w:rPr>
        <w:t>kuna</w:t>
      </w:r>
      <w:r w:rsidR="009E2914" w:rsidRPr="00C2390B">
        <w:rPr>
          <w:bCs/>
        </w:rPr>
        <w:t xml:space="preserve"> i na premiju za </w:t>
      </w:r>
      <w:r w:rsidR="001D1663" w:rsidRPr="00C2390B">
        <w:t>instrument SURE Europske unije</w:t>
      </w:r>
      <w:r w:rsidRPr="00C2390B">
        <w:rPr>
          <w:bCs/>
        </w:rPr>
        <w:t>.</w:t>
      </w:r>
    </w:p>
    <w:p w14:paraId="26E6C3C3" w14:textId="77777777" w:rsidR="00237246" w:rsidRPr="003B30B6" w:rsidRDefault="00237246" w:rsidP="00237246">
      <w:pPr>
        <w:keepNext/>
        <w:jc w:val="both"/>
        <w:rPr>
          <w:bCs/>
        </w:rPr>
      </w:pPr>
    </w:p>
    <w:p w14:paraId="7DF0C795" w14:textId="5B5457C2" w:rsidR="00187157" w:rsidRPr="00C85DCC" w:rsidRDefault="00ED1991" w:rsidP="00187157">
      <w:pPr>
        <w:keepNext/>
        <w:jc w:val="center"/>
        <w:rPr>
          <w:bCs/>
          <w:sz w:val="28"/>
          <w:szCs w:val="28"/>
        </w:rPr>
      </w:pPr>
      <w:r>
        <w:rPr>
          <w:bCs/>
          <w:sz w:val="28"/>
          <w:szCs w:val="28"/>
        </w:rPr>
        <w:t>Bilješka 30</w:t>
      </w:r>
      <w:r w:rsidR="00187157" w:rsidRPr="00C85DCC">
        <w:rPr>
          <w:bCs/>
          <w:sz w:val="28"/>
          <w:szCs w:val="28"/>
        </w:rPr>
        <w:t>.</w:t>
      </w:r>
    </w:p>
    <w:p w14:paraId="1925A4BB" w14:textId="497945E9" w:rsidR="00187157" w:rsidRPr="00C2390B" w:rsidRDefault="00E25B5C" w:rsidP="00187157">
      <w:pPr>
        <w:keepNext/>
        <w:jc w:val="center"/>
        <w:rPr>
          <w:bCs/>
          <w:sz w:val="28"/>
          <w:szCs w:val="28"/>
        </w:rPr>
      </w:pPr>
      <w:r>
        <w:rPr>
          <w:bCs/>
          <w:sz w:val="28"/>
          <w:szCs w:val="28"/>
        </w:rPr>
        <w:t>AOP 253 i 254</w:t>
      </w:r>
      <w:r w:rsidR="00187157" w:rsidRPr="00C2390B">
        <w:rPr>
          <w:bCs/>
          <w:sz w:val="28"/>
          <w:szCs w:val="28"/>
        </w:rPr>
        <w:t xml:space="preserve"> </w:t>
      </w:r>
      <w:proofErr w:type="spellStart"/>
      <w:r w:rsidR="00187157" w:rsidRPr="00C2390B">
        <w:rPr>
          <w:bCs/>
          <w:sz w:val="28"/>
          <w:szCs w:val="28"/>
        </w:rPr>
        <w:t>Izvanbilančni</w:t>
      </w:r>
      <w:proofErr w:type="spellEnd"/>
      <w:r w:rsidR="00187157" w:rsidRPr="00C2390B">
        <w:rPr>
          <w:bCs/>
          <w:sz w:val="28"/>
          <w:szCs w:val="28"/>
        </w:rPr>
        <w:t xml:space="preserve"> zapisi </w:t>
      </w:r>
    </w:p>
    <w:p w14:paraId="542D4850" w14:textId="1000B5FA" w:rsidR="00187157" w:rsidRPr="00C2390B" w:rsidRDefault="00187157" w:rsidP="00187157">
      <w:pPr>
        <w:keepNext/>
        <w:jc w:val="both"/>
        <w:rPr>
          <w:bCs/>
        </w:rPr>
      </w:pPr>
      <w:r w:rsidRPr="00C2390B">
        <w:rPr>
          <w:bCs/>
        </w:rPr>
        <w:t xml:space="preserve">Na </w:t>
      </w:r>
      <w:r w:rsidR="00145346">
        <w:rPr>
          <w:bCs/>
        </w:rPr>
        <w:t xml:space="preserve">dan 31. prosinca 2021. na </w:t>
      </w:r>
      <w:proofErr w:type="spellStart"/>
      <w:r w:rsidRPr="00C2390B">
        <w:rPr>
          <w:bCs/>
        </w:rPr>
        <w:t>izvanbilančnim</w:t>
      </w:r>
      <w:proofErr w:type="spellEnd"/>
      <w:r w:rsidRPr="00C2390B">
        <w:rPr>
          <w:bCs/>
        </w:rPr>
        <w:t xml:space="preserve"> zapisima evidentiran je iznos od </w:t>
      </w:r>
      <w:r w:rsidR="00E25B5C">
        <w:rPr>
          <w:bCs/>
        </w:rPr>
        <w:t>48.224.809.355,16</w:t>
      </w:r>
      <w:r w:rsidRPr="00C2390B">
        <w:rPr>
          <w:bCs/>
        </w:rPr>
        <w:t xml:space="preserve"> </w:t>
      </w:r>
      <w:r w:rsidR="00FE019C" w:rsidRPr="00C2390B">
        <w:rPr>
          <w:bCs/>
        </w:rPr>
        <w:t>kuna</w:t>
      </w:r>
      <w:r w:rsidRPr="00C2390B">
        <w:rPr>
          <w:bCs/>
        </w:rPr>
        <w:t xml:space="preserve">, a odnosi se na </w:t>
      </w:r>
      <w:proofErr w:type="spellStart"/>
      <w:r w:rsidRPr="00C2390B">
        <w:rPr>
          <w:bCs/>
        </w:rPr>
        <w:t>izvanbilančnu</w:t>
      </w:r>
      <w:proofErr w:type="spellEnd"/>
      <w:r w:rsidRPr="00C2390B">
        <w:rPr>
          <w:bCs/>
        </w:rPr>
        <w:t xml:space="preserve"> evidenciju: </w:t>
      </w:r>
    </w:p>
    <w:p w14:paraId="683C0F9C" w14:textId="3AB391A2" w:rsidR="00187157" w:rsidRPr="00C2390B" w:rsidRDefault="00187157" w:rsidP="009F1B2E">
      <w:pPr>
        <w:keepNext/>
        <w:numPr>
          <w:ilvl w:val="0"/>
          <w:numId w:val="6"/>
        </w:numPr>
        <w:tabs>
          <w:tab w:val="decimal" w:pos="8820"/>
        </w:tabs>
        <w:jc w:val="both"/>
        <w:rPr>
          <w:bCs/>
        </w:rPr>
      </w:pPr>
      <w:r w:rsidRPr="00C2390B">
        <w:rPr>
          <w:bCs/>
        </w:rPr>
        <w:t>jamst</w:t>
      </w:r>
      <w:r w:rsidR="00145346">
        <w:rPr>
          <w:bCs/>
        </w:rPr>
        <w:t>a</w:t>
      </w:r>
      <w:r w:rsidR="00BA156D" w:rsidRPr="00C2390B">
        <w:rPr>
          <w:bCs/>
        </w:rPr>
        <w:t xml:space="preserve">va </w:t>
      </w:r>
      <w:r w:rsidR="00BA156D" w:rsidRPr="00C2390B">
        <w:rPr>
          <w:bCs/>
        </w:rPr>
        <w:tab/>
      </w:r>
      <w:r w:rsidR="00AE37AB" w:rsidRPr="00C2390B">
        <w:rPr>
          <w:bCs/>
        </w:rPr>
        <w:t>25.124.660.566,71</w:t>
      </w:r>
    </w:p>
    <w:p w14:paraId="632FB8C0" w14:textId="4C42562F" w:rsidR="00187157" w:rsidRPr="00C2390B" w:rsidRDefault="00187157" w:rsidP="009F1B2E">
      <w:pPr>
        <w:keepNext/>
        <w:numPr>
          <w:ilvl w:val="0"/>
          <w:numId w:val="6"/>
        </w:numPr>
        <w:tabs>
          <w:tab w:val="decimal" w:pos="8820"/>
        </w:tabs>
        <w:jc w:val="both"/>
        <w:rPr>
          <w:bCs/>
        </w:rPr>
      </w:pPr>
      <w:r w:rsidRPr="00C2390B">
        <w:rPr>
          <w:bCs/>
        </w:rPr>
        <w:t>međunarodni</w:t>
      </w:r>
      <w:r w:rsidR="00145346">
        <w:rPr>
          <w:bCs/>
        </w:rPr>
        <w:t>h</w:t>
      </w:r>
      <w:r w:rsidRPr="00C2390B">
        <w:rPr>
          <w:bCs/>
        </w:rPr>
        <w:t xml:space="preserve"> </w:t>
      </w:r>
      <w:r w:rsidR="005A02AC" w:rsidRPr="00C2390B">
        <w:rPr>
          <w:bCs/>
        </w:rPr>
        <w:t xml:space="preserve">zajmovi </w:t>
      </w:r>
      <w:r w:rsidRPr="00C2390B">
        <w:rPr>
          <w:bCs/>
        </w:rPr>
        <w:t>dani</w:t>
      </w:r>
      <w:r w:rsidR="00145346">
        <w:rPr>
          <w:bCs/>
        </w:rPr>
        <w:t>h</w:t>
      </w:r>
      <w:r w:rsidRPr="00C2390B">
        <w:rPr>
          <w:bCs/>
        </w:rPr>
        <w:t xml:space="preserve"> uz dr</w:t>
      </w:r>
      <w:r w:rsidR="00BA156D" w:rsidRPr="00C2390B">
        <w:rPr>
          <w:bCs/>
        </w:rPr>
        <w:t xml:space="preserve">žavno jamstvo </w:t>
      </w:r>
      <w:r w:rsidR="00BA156D" w:rsidRPr="00C2390B">
        <w:rPr>
          <w:bCs/>
        </w:rPr>
        <w:tab/>
      </w:r>
      <w:r w:rsidR="00AE37AB" w:rsidRPr="00C2390B">
        <w:rPr>
          <w:bCs/>
        </w:rPr>
        <w:t>23.096.717.182,73</w:t>
      </w:r>
    </w:p>
    <w:p w14:paraId="38CF78DD" w14:textId="77777777" w:rsidR="00187157" w:rsidRPr="00C2390B" w:rsidRDefault="00187157" w:rsidP="009F1B2E">
      <w:pPr>
        <w:keepNext/>
        <w:numPr>
          <w:ilvl w:val="0"/>
          <w:numId w:val="6"/>
        </w:numPr>
        <w:tabs>
          <w:tab w:val="decimal" w:pos="8820"/>
        </w:tabs>
        <w:jc w:val="both"/>
        <w:rPr>
          <w:bCs/>
        </w:rPr>
      </w:pPr>
      <w:r w:rsidRPr="00C2390B">
        <w:rPr>
          <w:bCs/>
        </w:rPr>
        <w:t>potencijalne obveze po sudskim sporovima Ministarstva financija</w:t>
      </w:r>
    </w:p>
    <w:p w14:paraId="0A5C8B55" w14:textId="40A7AB49" w:rsidR="00187157" w:rsidRPr="00C2390B" w:rsidRDefault="00187157" w:rsidP="00187157">
      <w:pPr>
        <w:keepNext/>
        <w:tabs>
          <w:tab w:val="decimal" w:pos="8820"/>
        </w:tabs>
        <w:ind w:left="360"/>
        <w:jc w:val="both"/>
        <w:rPr>
          <w:bCs/>
        </w:rPr>
      </w:pPr>
      <w:r w:rsidRPr="00C2390B">
        <w:rPr>
          <w:bCs/>
        </w:rPr>
        <w:t>- bivšeg Fo</w:t>
      </w:r>
      <w:r w:rsidR="00BA156D" w:rsidRPr="00C2390B">
        <w:rPr>
          <w:bCs/>
        </w:rPr>
        <w:t>nda za naknadu oduzete imovine</w:t>
      </w:r>
      <w:r w:rsidR="00BA156D" w:rsidRPr="00C2390B">
        <w:rPr>
          <w:bCs/>
        </w:rPr>
        <w:tab/>
      </w:r>
      <w:r w:rsidR="00502C06" w:rsidRPr="00C2390B">
        <w:rPr>
          <w:bCs/>
        </w:rPr>
        <w:t>3.431.605,72</w:t>
      </w:r>
    </w:p>
    <w:p w14:paraId="1B59F594" w14:textId="77777777" w:rsidR="00187157" w:rsidRPr="00C2390B" w:rsidRDefault="00187157" w:rsidP="00187157">
      <w:pPr>
        <w:jc w:val="both"/>
        <w:rPr>
          <w:bCs/>
        </w:rPr>
      </w:pPr>
    </w:p>
    <w:p w14:paraId="652EDCFF" w14:textId="117BDD93" w:rsidR="00187157" w:rsidRDefault="00187157" w:rsidP="00187157">
      <w:pPr>
        <w:jc w:val="both"/>
        <w:rPr>
          <w:bCs/>
        </w:rPr>
      </w:pPr>
      <w:r w:rsidRPr="00C2390B">
        <w:rPr>
          <w:bCs/>
        </w:rPr>
        <w:t>Podaci o potencijalnim obvezama po sudskim sporovima razvrstani prema organizacijskoj klasifikaciji državnog proračuna daju se u Dodatku 1. Iskazani su u financijskim izvještajima proračunskih korisnika državnog proračuna razine 11, pa se stoga ne iskazuju u financijskom izvještaju državnog proračuna (razina 13).</w:t>
      </w:r>
    </w:p>
    <w:p w14:paraId="57F00168" w14:textId="77777777" w:rsidR="00B70B4A" w:rsidRPr="003B30B6" w:rsidRDefault="00B70B4A" w:rsidP="00187157">
      <w:pPr>
        <w:jc w:val="both"/>
        <w:rPr>
          <w:bCs/>
        </w:rPr>
      </w:pPr>
    </w:p>
    <w:p w14:paraId="51E0FF3F" w14:textId="77777777" w:rsidR="00187157" w:rsidRPr="003B30B6" w:rsidRDefault="00187157" w:rsidP="00187157">
      <w:pPr>
        <w:jc w:val="both"/>
        <w:rPr>
          <w:b/>
          <w:bCs/>
          <w:u w:val="single"/>
        </w:rPr>
      </w:pPr>
    </w:p>
    <w:p w14:paraId="3FAD0135" w14:textId="77777777" w:rsidR="00187157" w:rsidRPr="00C2390B" w:rsidRDefault="00187157" w:rsidP="00187157">
      <w:pPr>
        <w:jc w:val="both"/>
        <w:rPr>
          <w:b/>
          <w:bCs/>
          <w:u w:val="single"/>
        </w:rPr>
      </w:pPr>
      <w:r w:rsidRPr="00C2390B">
        <w:rPr>
          <w:b/>
          <w:bCs/>
          <w:u w:val="single"/>
        </w:rPr>
        <w:t>Obvezne Bilješke uz Bilancu</w:t>
      </w:r>
    </w:p>
    <w:p w14:paraId="6B14289D" w14:textId="77777777" w:rsidR="00187157" w:rsidRPr="00C2390B" w:rsidRDefault="00187157" w:rsidP="00187157">
      <w:pPr>
        <w:jc w:val="both"/>
        <w:rPr>
          <w:bCs/>
        </w:rPr>
      </w:pPr>
    </w:p>
    <w:p w14:paraId="7F67117B" w14:textId="77777777" w:rsidR="00187157" w:rsidRPr="00C2390B" w:rsidRDefault="00187157" w:rsidP="00187157">
      <w:pPr>
        <w:jc w:val="both"/>
        <w:rPr>
          <w:bCs/>
        </w:rPr>
      </w:pPr>
      <w:r w:rsidRPr="00C2390B">
        <w:rPr>
          <w:bCs/>
        </w:rPr>
        <w:t>Pravilnikom o izmjenama Pravilnika o financijskom izvještavanju u proračunskom računovodstvu iz prosinca 2018. (Narodne novine, br. 112/18) izmijenjen je sadržaj obveznih Bilješki uz Bilancu na način da sadrže:</w:t>
      </w:r>
    </w:p>
    <w:p w14:paraId="3016A507" w14:textId="77777777" w:rsidR="00187157" w:rsidRPr="00C2390B" w:rsidRDefault="00187157" w:rsidP="009F1B2E">
      <w:pPr>
        <w:numPr>
          <w:ilvl w:val="0"/>
          <w:numId w:val="9"/>
        </w:numPr>
        <w:jc w:val="both"/>
      </w:pPr>
      <w:r w:rsidRPr="00C2390B">
        <w:t>Popis ugovornih odnosa i slično koji uz ispunjenje određenih uvjeta, mogu postati obveza ili imovina (dana kreditna pisma, hipoteke i slično) i</w:t>
      </w:r>
    </w:p>
    <w:p w14:paraId="6FC5D56E" w14:textId="77777777" w:rsidR="00187157" w:rsidRPr="00C2390B" w:rsidRDefault="00187157" w:rsidP="009F1B2E">
      <w:pPr>
        <w:numPr>
          <w:ilvl w:val="0"/>
          <w:numId w:val="9"/>
        </w:numPr>
        <w:jc w:val="both"/>
      </w:pPr>
      <w:r w:rsidRPr="00C2390B">
        <w:t>Popis sudskih sporova u tijeku – sadrži sažeti opis prirode spora, procjenu financijskog učinka koji može proisteći iz sudskog spora kao obveza ili imovina te procijenjeno vrijeme odljeva ili priljeva sredstava, i iskazuju se u tablicama.</w:t>
      </w:r>
    </w:p>
    <w:p w14:paraId="1399DFA4" w14:textId="77777777" w:rsidR="00187157" w:rsidRPr="00C2390B" w:rsidRDefault="00187157" w:rsidP="00187157">
      <w:pPr>
        <w:jc w:val="both"/>
        <w:rPr>
          <w:szCs w:val="20"/>
        </w:rPr>
      </w:pPr>
    </w:p>
    <w:p w14:paraId="112541AA" w14:textId="77777777" w:rsidR="00187157" w:rsidRPr="003B30B6" w:rsidRDefault="00187157" w:rsidP="00187157">
      <w:pPr>
        <w:jc w:val="both"/>
        <w:rPr>
          <w:szCs w:val="20"/>
        </w:rPr>
      </w:pPr>
      <w:r w:rsidRPr="00C2390B">
        <w:rPr>
          <w:szCs w:val="20"/>
        </w:rPr>
        <w:t>Popisi iz točke 1. i 2. daju se u privitku.</w:t>
      </w:r>
    </w:p>
    <w:p w14:paraId="72F1FFEA" w14:textId="77777777" w:rsidR="005F16C5" w:rsidRPr="00B852EF" w:rsidRDefault="00187157" w:rsidP="005F16C5">
      <w:pPr>
        <w:pStyle w:val="Naslov1"/>
      </w:pPr>
      <w:r w:rsidRPr="003B30B6">
        <w:rPr>
          <w:b w:val="0"/>
          <w:bCs w:val="0"/>
          <w:sz w:val="24"/>
        </w:rPr>
        <w:br w:type="page"/>
      </w:r>
      <w:r w:rsidR="005F16C5" w:rsidRPr="00B852EF">
        <w:lastRenderedPageBreak/>
        <w:t>BILJEŠKE UZ IZVJEŠTAJ O PROMJENAMA U VRIJEDNOSTI I OBUJMU IMOVINE I OBVEZA</w:t>
      </w:r>
    </w:p>
    <w:p w14:paraId="48F3B63C" w14:textId="77777777" w:rsidR="005F16C5" w:rsidRPr="00B852EF" w:rsidRDefault="005F16C5" w:rsidP="005F16C5">
      <w:pPr>
        <w:jc w:val="center"/>
        <w:rPr>
          <w:sz w:val="28"/>
          <w:szCs w:val="28"/>
        </w:rPr>
      </w:pPr>
    </w:p>
    <w:p w14:paraId="48A2E9F2" w14:textId="77777777" w:rsidR="005F16C5" w:rsidRPr="00B852EF" w:rsidRDefault="005F16C5" w:rsidP="005F16C5">
      <w:pPr>
        <w:jc w:val="center"/>
        <w:rPr>
          <w:sz w:val="28"/>
          <w:szCs w:val="28"/>
        </w:rPr>
      </w:pPr>
      <w:r w:rsidRPr="00B852EF">
        <w:rPr>
          <w:sz w:val="28"/>
          <w:szCs w:val="28"/>
        </w:rPr>
        <w:t>Bilješka 1.</w:t>
      </w:r>
    </w:p>
    <w:p w14:paraId="2CF5D410" w14:textId="77777777" w:rsidR="005F16C5" w:rsidRPr="00B852EF" w:rsidRDefault="005F16C5" w:rsidP="005F16C5">
      <w:pPr>
        <w:jc w:val="both"/>
      </w:pPr>
    </w:p>
    <w:p w14:paraId="6DD539E9" w14:textId="77777777" w:rsidR="005F16C5" w:rsidRPr="00B852EF" w:rsidRDefault="005F16C5" w:rsidP="005F16C5">
      <w:pPr>
        <w:jc w:val="both"/>
      </w:pPr>
      <w:r w:rsidRPr="00B852EF">
        <w:t xml:space="preserve">U Obrascu P-VRIO evidentirane su sljedeće promjene: </w:t>
      </w:r>
    </w:p>
    <w:p w14:paraId="281B8027" w14:textId="77777777" w:rsidR="005F16C5" w:rsidRPr="00B852EF" w:rsidRDefault="005F16C5" w:rsidP="005F16C5"/>
    <w:p w14:paraId="42103035" w14:textId="77777777" w:rsidR="005F16C5" w:rsidRPr="00B852EF" w:rsidRDefault="005F16C5" w:rsidP="005F16C5">
      <w:pPr>
        <w:jc w:val="center"/>
        <w:rPr>
          <w:sz w:val="28"/>
          <w:szCs w:val="28"/>
        </w:rPr>
      </w:pPr>
      <w:r w:rsidRPr="00B852EF">
        <w:rPr>
          <w:sz w:val="28"/>
          <w:szCs w:val="28"/>
        </w:rPr>
        <w:t>AOP 010 Promjene u vrijednosti (revalorizacija) financijske imovine</w:t>
      </w:r>
    </w:p>
    <w:tbl>
      <w:tblPr>
        <w:tblW w:w="9346" w:type="dxa"/>
        <w:tblLook w:val="04A0" w:firstRow="1" w:lastRow="0" w:firstColumn="1" w:lastColumn="0" w:noHBand="0" w:noVBand="1"/>
      </w:tblPr>
      <w:tblGrid>
        <w:gridCol w:w="4810"/>
        <w:gridCol w:w="1843"/>
        <w:gridCol w:w="1842"/>
        <w:gridCol w:w="851"/>
      </w:tblGrid>
      <w:tr w:rsidR="005F16C5" w:rsidRPr="00B852EF" w14:paraId="244BEB67" w14:textId="77777777" w:rsidTr="004C306A">
        <w:trPr>
          <w:trHeight w:val="645"/>
        </w:trPr>
        <w:tc>
          <w:tcPr>
            <w:tcW w:w="48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164B82" w14:textId="77777777" w:rsidR="005F16C5" w:rsidRPr="00B852EF" w:rsidRDefault="005F16C5" w:rsidP="004C306A">
            <w:pPr>
              <w:jc w:val="center"/>
              <w:rPr>
                <w:b/>
                <w:bCs/>
                <w:sz w:val="20"/>
                <w:szCs w:val="20"/>
              </w:rPr>
            </w:pPr>
            <w:r w:rsidRPr="00B852EF">
              <w:rPr>
                <w:b/>
                <w:bCs/>
                <w:sz w:val="20"/>
                <w:szCs w:val="20"/>
              </w:rPr>
              <w:t>Opis knjiženja</w:t>
            </w:r>
          </w:p>
        </w:tc>
        <w:tc>
          <w:tcPr>
            <w:tcW w:w="1843" w:type="dxa"/>
            <w:tcBorders>
              <w:top w:val="single" w:sz="8" w:space="0" w:color="auto"/>
              <w:left w:val="nil"/>
              <w:bottom w:val="nil"/>
              <w:right w:val="single" w:sz="8" w:space="0" w:color="auto"/>
            </w:tcBorders>
            <w:shd w:val="clear" w:color="auto" w:fill="auto"/>
            <w:noWrap/>
            <w:vAlign w:val="center"/>
            <w:hideMark/>
          </w:tcPr>
          <w:p w14:paraId="2C5B5D12" w14:textId="77777777" w:rsidR="005F16C5" w:rsidRPr="00B852EF" w:rsidRDefault="005F16C5" w:rsidP="004C306A">
            <w:pPr>
              <w:jc w:val="center"/>
              <w:rPr>
                <w:b/>
                <w:bCs/>
                <w:sz w:val="20"/>
                <w:szCs w:val="20"/>
              </w:rPr>
            </w:pPr>
            <w:r w:rsidRPr="00B852EF">
              <w:rPr>
                <w:b/>
                <w:bCs/>
                <w:sz w:val="20"/>
                <w:szCs w:val="20"/>
              </w:rPr>
              <w:t>Iznos</w:t>
            </w:r>
          </w:p>
        </w:tc>
        <w:tc>
          <w:tcPr>
            <w:tcW w:w="1842" w:type="dxa"/>
            <w:tcBorders>
              <w:top w:val="single" w:sz="8" w:space="0" w:color="auto"/>
              <w:left w:val="nil"/>
              <w:bottom w:val="single" w:sz="4" w:space="0" w:color="auto"/>
              <w:right w:val="single" w:sz="8" w:space="0" w:color="auto"/>
            </w:tcBorders>
            <w:shd w:val="clear" w:color="auto" w:fill="auto"/>
            <w:vAlign w:val="center"/>
            <w:hideMark/>
          </w:tcPr>
          <w:p w14:paraId="480E40C6" w14:textId="77777777" w:rsidR="005F16C5" w:rsidRPr="00B852EF" w:rsidRDefault="005F16C5" w:rsidP="004C306A">
            <w:pPr>
              <w:jc w:val="center"/>
              <w:rPr>
                <w:b/>
                <w:bCs/>
                <w:sz w:val="20"/>
                <w:szCs w:val="20"/>
              </w:rPr>
            </w:pPr>
            <w:r w:rsidRPr="00B852EF">
              <w:rPr>
                <w:b/>
                <w:bCs/>
                <w:sz w:val="20"/>
                <w:szCs w:val="20"/>
              </w:rPr>
              <w:t>smanjenje/ povećanje</w:t>
            </w:r>
          </w:p>
        </w:tc>
        <w:tc>
          <w:tcPr>
            <w:tcW w:w="851" w:type="dxa"/>
            <w:tcBorders>
              <w:top w:val="single" w:sz="8" w:space="0" w:color="auto"/>
              <w:left w:val="nil"/>
              <w:bottom w:val="single" w:sz="4" w:space="0" w:color="auto"/>
              <w:right w:val="single" w:sz="8" w:space="0" w:color="auto"/>
            </w:tcBorders>
            <w:shd w:val="clear" w:color="auto" w:fill="auto"/>
            <w:vAlign w:val="center"/>
            <w:hideMark/>
          </w:tcPr>
          <w:p w14:paraId="65D7D67A" w14:textId="77777777" w:rsidR="005F16C5" w:rsidRPr="00B852EF" w:rsidRDefault="005F16C5" w:rsidP="004C306A">
            <w:pPr>
              <w:jc w:val="center"/>
              <w:rPr>
                <w:b/>
                <w:bCs/>
                <w:sz w:val="20"/>
                <w:szCs w:val="20"/>
              </w:rPr>
            </w:pPr>
            <w:r w:rsidRPr="00B852EF">
              <w:rPr>
                <w:b/>
                <w:bCs/>
                <w:sz w:val="20"/>
                <w:szCs w:val="20"/>
              </w:rPr>
              <w:t>AOP</w:t>
            </w:r>
          </w:p>
        </w:tc>
      </w:tr>
      <w:tr w:rsidR="005F16C5" w:rsidRPr="00B852EF" w14:paraId="6101E1EE" w14:textId="77777777" w:rsidTr="004C306A">
        <w:trPr>
          <w:trHeight w:val="510"/>
        </w:trPr>
        <w:tc>
          <w:tcPr>
            <w:tcW w:w="481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F92832C" w14:textId="77777777" w:rsidR="005F16C5" w:rsidRPr="00B852EF" w:rsidRDefault="005F16C5" w:rsidP="004C306A">
            <w:pPr>
              <w:rPr>
                <w:sz w:val="20"/>
                <w:szCs w:val="20"/>
              </w:rPr>
            </w:pPr>
            <w:r w:rsidRPr="00B852EF">
              <w:rPr>
                <w:sz w:val="20"/>
                <w:szCs w:val="20"/>
              </w:rPr>
              <w:t>Vrijednosno usklađenje imovine - zajmovi trgovačkim društvima u JS za međunarodne zajmove - dug</w:t>
            </w:r>
          </w:p>
        </w:tc>
        <w:tc>
          <w:tcPr>
            <w:tcW w:w="1843" w:type="dxa"/>
            <w:tcBorders>
              <w:top w:val="single" w:sz="8" w:space="0" w:color="auto"/>
              <w:left w:val="nil"/>
              <w:bottom w:val="nil"/>
              <w:right w:val="single" w:sz="8" w:space="0" w:color="auto"/>
            </w:tcBorders>
            <w:shd w:val="clear" w:color="auto" w:fill="auto"/>
            <w:noWrap/>
            <w:vAlign w:val="center"/>
            <w:hideMark/>
          </w:tcPr>
          <w:p w14:paraId="02BEDDAB" w14:textId="77777777" w:rsidR="005F16C5" w:rsidRPr="00B852EF" w:rsidRDefault="005F16C5" w:rsidP="004C306A">
            <w:pPr>
              <w:jc w:val="right"/>
              <w:rPr>
                <w:sz w:val="20"/>
                <w:szCs w:val="20"/>
              </w:rPr>
            </w:pPr>
            <w:r w:rsidRPr="00B852EF">
              <w:rPr>
                <w:sz w:val="20"/>
                <w:szCs w:val="20"/>
              </w:rPr>
              <w:t>-20.358,20</w:t>
            </w:r>
          </w:p>
        </w:tc>
        <w:tc>
          <w:tcPr>
            <w:tcW w:w="1842" w:type="dxa"/>
            <w:tcBorders>
              <w:top w:val="single" w:sz="8" w:space="0" w:color="auto"/>
              <w:left w:val="nil"/>
              <w:bottom w:val="nil"/>
              <w:right w:val="single" w:sz="8" w:space="0" w:color="auto"/>
            </w:tcBorders>
            <w:shd w:val="clear" w:color="auto" w:fill="auto"/>
            <w:vAlign w:val="center"/>
            <w:hideMark/>
          </w:tcPr>
          <w:p w14:paraId="6F4AA2D0"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single" w:sz="8" w:space="0" w:color="auto"/>
              <w:left w:val="nil"/>
              <w:bottom w:val="nil"/>
              <w:right w:val="single" w:sz="8" w:space="0" w:color="auto"/>
            </w:tcBorders>
            <w:shd w:val="clear" w:color="auto" w:fill="auto"/>
            <w:vAlign w:val="center"/>
            <w:hideMark/>
          </w:tcPr>
          <w:p w14:paraId="1D550086" w14:textId="77777777" w:rsidR="005F16C5" w:rsidRPr="00B852EF" w:rsidRDefault="005F16C5" w:rsidP="004C306A">
            <w:pPr>
              <w:jc w:val="center"/>
              <w:rPr>
                <w:sz w:val="20"/>
                <w:szCs w:val="20"/>
              </w:rPr>
            </w:pPr>
            <w:r w:rsidRPr="00B852EF">
              <w:rPr>
                <w:sz w:val="20"/>
                <w:szCs w:val="20"/>
              </w:rPr>
              <w:t>013</w:t>
            </w:r>
          </w:p>
        </w:tc>
      </w:tr>
      <w:tr w:rsidR="005F16C5" w:rsidRPr="00B852EF" w14:paraId="779989D9" w14:textId="77777777" w:rsidTr="004C306A">
        <w:trPr>
          <w:trHeight w:val="510"/>
        </w:trPr>
        <w:tc>
          <w:tcPr>
            <w:tcW w:w="4810" w:type="dxa"/>
            <w:tcBorders>
              <w:top w:val="nil"/>
              <w:left w:val="single" w:sz="8" w:space="0" w:color="auto"/>
              <w:bottom w:val="single" w:sz="4" w:space="0" w:color="auto"/>
              <w:right w:val="nil"/>
            </w:tcBorders>
            <w:shd w:val="clear" w:color="auto" w:fill="auto"/>
            <w:vAlign w:val="center"/>
            <w:hideMark/>
          </w:tcPr>
          <w:p w14:paraId="20454BB8" w14:textId="77777777" w:rsidR="005F16C5" w:rsidRPr="00B852EF" w:rsidRDefault="005F16C5" w:rsidP="004C306A">
            <w:pPr>
              <w:rPr>
                <w:sz w:val="20"/>
                <w:szCs w:val="20"/>
              </w:rPr>
            </w:pPr>
            <w:r w:rsidRPr="00B852EF">
              <w:rPr>
                <w:sz w:val="20"/>
                <w:szCs w:val="20"/>
              </w:rPr>
              <w:t xml:space="preserve">Vrijednosno usklađenje imovine - zajmovi trgovačkim društvima u JS za međunarodne zajmove - dug </w:t>
            </w:r>
            <w:proofErr w:type="spellStart"/>
            <w:r w:rsidRPr="00B852EF">
              <w:rPr>
                <w:sz w:val="20"/>
                <w:szCs w:val="20"/>
              </w:rPr>
              <w:t>Ekoplus</w:t>
            </w:r>
            <w:proofErr w:type="spellEnd"/>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7686AC" w14:textId="77777777" w:rsidR="005F16C5" w:rsidRPr="00B852EF" w:rsidRDefault="005F16C5" w:rsidP="004C306A">
            <w:pPr>
              <w:jc w:val="right"/>
              <w:rPr>
                <w:sz w:val="20"/>
                <w:szCs w:val="20"/>
              </w:rPr>
            </w:pPr>
            <w:r w:rsidRPr="00B852EF">
              <w:rPr>
                <w:sz w:val="20"/>
                <w:szCs w:val="20"/>
              </w:rPr>
              <w:t>-64.928,54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2A22" w14:textId="77777777" w:rsidR="005F16C5" w:rsidRPr="00B852EF" w:rsidRDefault="005F16C5" w:rsidP="004C306A">
            <w:pPr>
              <w:jc w:val="center"/>
              <w:rPr>
                <w:sz w:val="20"/>
                <w:szCs w:val="20"/>
              </w:rPr>
            </w:pPr>
            <w:r w:rsidRPr="00B852EF">
              <w:rPr>
                <w:sz w:val="20"/>
                <w:szCs w:val="20"/>
              </w:rPr>
              <w:t>smanjenje vrijednosti imovine</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B72364A" w14:textId="77777777" w:rsidR="005F16C5" w:rsidRPr="00B852EF" w:rsidRDefault="005F16C5" w:rsidP="004C306A">
            <w:pPr>
              <w:jc w:val="center"/>
              <w:rPr>
                <w:sz w:val="20"/>
                <w:szCs w:val="20"/>
              </w:rPr>
            </w:pPr>
            <w:r w:rsidRPr="00B852EF">
              <w:rPr>
                <w:sz w:val="20"/>
                <w:szCs w:val="20"/>
              </w:rPr>
              <w:t>013</w:t>
            </w:r>
          </w:p>
        </w:tc>
      </w:tr>
      <w:tr w:rsidR="005F16C5" w:rsidRPr="00B852EF" w14:paraId="7768458E" w14:textId="77777777" w:rsidTr="004C306A">
        <w:trPr>
          <w:trHeight w:val="510"/>
        </w:trPr>
        <w:tc>
          <w:tcPr>
            <w:tcW w:w="4810" w:type="dxa"/>
            <w:tcBorders>
              <w:top w:val="nil"/>
              <w:left w:val="single" w:sz="8" w:space="0" w:color="auto"/>
              <w:bottom w:val="single" w:sz="4" w:space="0" w:color="auto"/>
              <w:right w:val="nil"/>
            </w:tcBorders>
            <w:shd w:val="clear" w:color="auto" w:fill="auto"/>
            <w:vAlign w:val="center"/>
            <w:hideMark/>
          </w:tcPr>
          <w:p w14:paraId="584A4949" w14:textId="77777777" w:rsidR="005F16C5" w:rsidRPr="00B852EF" w:rsidRDefault="005F16C5" w:rsidP="004C306A">
            <w:pPr>
              <w:rPr>
                <w:sz w:val="20"/>
                <w:szCs w:val="20"/>
              </w:rPr>
            </w:pPr>
            <w:r w:rsidRPr="00B852EF">
              <w:rPr>
                <w:sz w:val="20"/>
                <w:szCs w:val="20"/>
              </w:rPr>
              <w:t>Vrijednosno usklađenje imovine - zajmovi trgovačkim društvima u javnog sektora- dug</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34EA4E50" w14:textId="77777777" w:rsidR="005F16C5" w:rsidRPr="00B852EF" w:rsidRDefault="005F16C5" w:rsidP="004C306A">
            <w:pPr>
              <w:jc w:val="right"/>
              <w:rPr>
                <w:sz w:val="20"/>
                <w:szCs w:val="20"/>
              </w:rPr>
            </w:pPr>
            <w:r w:rsidRPr="00B852EF">
              <w:rPr>
                <w:sz w:val="20"/>
                <w:szCs w:val="20"/>
              </w:rPr>
              <w:t>-63.206,21</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1BCB0FE8" w14:textId="77777777" w:rsidR="005F16C5" w:rsidRPr="00B852EF" w:rsidRDefault="005F16C5" w:rsidP="004C306A">
            <w:pPr>
              <w:jc w:val="center"/>
              <w:rPr>
                <w:sz w:val="20"/>
                <w:szCs w:val="20"/>
              </w:rPr>
            </w:pPr>
            <w:r w:rsidRPr="00B852EF">
              <w:rPr>
                <w:sz w:val="20"/>
                <w:szCs w:val="20"/>
              </w:rPr>
              <w:t>smanjenje vrijednosti imovine</w:t>
            </w:r>
          </w:p>
        </w:tc>
        <w:tc>
          <w:tcPr>
            <w:tcW w:w="851" w:type="dxa"/>
            <w:tcBorders>
              <w:top w:val="nil"/>
              <w:left w:val="single" w:sz="8" w:space="0" w:color="auto"/>
              <w:bottom w:val="single" w:sz="4" w:space="0" w:color="auto"/>
              <w:right w:val="single" w:sz="8" w:space="0" w:color="auto"/>
            </w:tcBorders>
            <w:shd w:val="clear" w:color="auto" w:fill="auto"/>
            <w:vAlign w:val="center"/>
            <w:hideMark/>
          </w:tcPr>
          <w:p w14:paraId="582DFDA3" w14:textId="77777777" w:rsidR="005F16C5" w:rsidRPr="00B852EF" w:rsidRDefault="005F16C5" w:rsidP="004C306A">
            <w:pPr>
              <w:jc w:val="center"/>
              <w:rPr>
                <w:sz w:val="20"/>
                <w:szCs w:val="20"/>
              </w:rPr>
            </w:pPr>
            <w:r w:rsidRPr="00B852EF">
              <w:rPr>
                <w:sz w:val="20"/>
                <w:szCs w:val="20"/>
              </w:rPr>
              <w:t>013</w:t>
            </w:r>
          </w:p>
        </w:tc>
      </w:tr>
      <w:tr w:rsidR="005F16C5" w:rsidRPr="00B852EF" w14:paraId="3FD67635" w14:textId="77777777" w:rsidTr="004C306A">
        <w:trPr>
          <w:trHeight w:val="510"/>
        </w:trPr>
        <w:tc>
          <w:tcPr>
            <w:tcW w:w="4810" w:type="dxa"/>
            <w:tcBorders>
              <w:top w:val="nil"/>
              <w:left w:val="single" w:sz="8" w:space="0" w:color="auto"/>
              <w:bottom w:val="single" w:sz="4" w:space="0" w:color="auto"/>
              <w:right w:val="nil"/>
            </w:tcBorders>
            <w:shd w:val="clear" w:color="auto" w:fill="auto"/>
            <w:vAlign w:val="center"/>
            <w:hideMark/>
          </w:tcPr>
          <w:p w14:paraId="764155A3" w14:textId="77777777" w:rsidR="005F16C5" w:rsidRPr="00B852EF" w:rsidRDefault="005F16C5" w:rsidP="004C306A">
            <w:pPr>
              <w:rPr>
                <w:sz w:val="20"/>
                <w:szCs w:val="20"/>
              </w:rPr>
            </w:pPr>
            <w:r w:rsidRPr="00B852EF">
              <w:rPr>
                <w:sz w:val="20"/>
                <w:szCs w:val="20"/>
              </w:rPr>
              <w:t>Vrijednosno usklađenje imovine - zajmovi trgovačkim društvima izvan javnom sektoru- dug</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437F5490" w14:textId="77777777" w:rsidR="005F16C5" w:rsidRPr="00B852EF" w:rsidRDefault="005F16C5" w:rsidP="004C306A">
            <w:pPr>
              <w:jc w:val="right"/>
              <w:rPr>
                <w:sz w:val="20"/>
                <w:szCs w:val="20"/>
              </w:rPr>
            </w:pPr>
            <w:r w:rsidRPr="00B852EF">
              <w:rPr>
                <w:sz w:val="20"/>
                <w:szCs w:val="20"/>
              </w:rPr>
              <w:t>-8.355.646,92</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06DBE604" w14:textId="77777777" w:rsidR="005F16C5" w:rsidRPr="00B852EF" w:rsidRDefault="005F16C5" w:rsidP="004C306A">
            <w:pPr>
              <w:jc w:val="center"/>
              <w:rPr>
                <w:sz w:val="20"/>
                <w:szCs w:val="20"/>
              </w:rPr>
            </w:pPr>
            <w:r w:rsidRPr="00B852EF">
              <w:rPr>
                <w:sz w:val="20"/>
                <w:szCs w:val="20"/>
              </w:rPr>
              <w:t>smanjenje vrijednosti imovine</w:t>
            </w:r>
          </w:p>
        </w:tc>
        <w:tc>
          <w:tcPr>
            <w:tcW w:w="851" w:type="dxa"/>
            <w:tcBorders>
              <w:top w:val="nil"/>
              <w:left w:val="single" w:sz="8" w:space="0" w:color="auto"/>
              <w:bottom w:val="single" w:sz="4" w:space="0" w:color="auto"/>
              <w:right w:val="single" w:sz="8" w:space="0" w:color="auto"/>
            </w:tcBorders>
            <w:shd w:val="clear" w:color="auto" w:fill="auto"/>
            <w:vAlign w:val="center"/>
            <w:hideMark/>
          </w:tcPr>
          <w:p w14:paraId="3D13E8CB" w14:textId="77777777" w:rsidR="005F16C5" w:rsidRPr="00B852EF" w:rsidRDefault="005F16C5" w:rsidP="004C306A">
            <w:pPr>
              <w:jc w:val="center"/>
              <w:rPr>
                <w:sz w:val="20"/>
                <w:szCs w:val="20"/>
              </w:rPr>
            </w:pPr>
            <w:r w:rsidRPr="00B852EF">
              <w:rPr>
                <w:sz w:val="20"/>
                <w:szCs w:val="20"/>
              </w:rPr>
              <w:t>013</w:t>
            </w:r>
          </w:p>
        </w:tc>
      </w:tr>
      <w:tr w:rsidR="005F16C5" w:rsidRPr="00B852EF" w14:paraId="1C49A611" w14:textId="77777777" w:rsidTr="004C306A">
        <w:trPr>
          <w:trHeight w:val="510"/>
        </w:trPr>
        <w:tc>
          <w:tcPr>
            <w:tcW w:w="4810" w:type="dxa"/>
            <w:tcBorders>
              <w:top w:val="nil"/>
              <w:left w:val="single" w:sz="8" w:space="0" w:color="auto"/>
              <w:bottom w:val="single" w:sz="4" w:space="0" w:color="auto"/>
              <w:right w:val="nil"/>
            </w:tcBorders>
            <w:shd w:val="clear" w:color="auto" w:fill="auto"/>
            <w:vAlign w:val="center"/>
            <w:hideMark/>
          </w:tcPr>
          <w:p w14:paraId="2181AD84" w14:textId="77777777" w:rsidR="005F16C5" w:rsidRPr="00B852EF" w:rsidRDefault="005F16C5" w:rsidP="004C306A">
            <w:pPr>
              <w:rPr>
                <w:sz w:val="20"/>
                <w:szCs w:val="20"/>
              </w:rPr>
            </w:pPr>
            <w:r w:rsidRPr="00B852EF">
              <w:rPr>
                <w:sz w:val="20"/>
                <w:szCs w:val="20"/>
              </w:rPr>
              <w:t>Vrijednosno usklađenje imovine - zajmovi trgovačkim društvima izvan javnog sektora- dug</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06EA67C4" w14:textId="77777777" w:rsidR="005F16C5" w:rsidRPr="00B852EF" w:rsidRDefault="005F16C5" w:rsidP="004C306A">
            <w:pPr>
              <w:jc w:val="right"/>
              <w:rPr>
                <w:sz w:val="20"/>
                <w:szCs w:val="20"/>
              </w:rPr>
            </w:pPr>
            <w:r w:rsidRPr="00B852EF">
              <w:rPr>
                <w:sz w:val="20"/>
                <w:szCs w:val="20"/>
              </w:rPr>
              <w:t>-63.130,59</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99B7044" w14:textId="77777777" w:rsidR="005F16C5" w:rsidRPr="00B852EF" w:rsidRDefault="005F16C5" w:rsidP="004C306A">
            <w:pPr>
              <w:jc w:val="center"/>
              <w:rPr>
                <w:sz w:val="20"/>
                <w:szCs w:val="20"/>
              </w:rPr>
            </w:pPr>
            <w:r w:rsidRPr="00B852EF">
              <w:rPr>
                <w:sz w:val="20"/>
                <w:szCs w:val="20"/>
              </w:rPr>
              <w:t>smanjenje vrijednosti imovine</w:t>
            </w:r>
          </w:p>
        </w:tc>
        <w:tc>
          <w:tcPr>
            <w:tcW w:w="851" w:type="dxa"/>
            <w:tcBorders>
              <w:top w:val="nil"/>
              <w:left w:val="single" w:sz="8" w:space="0" w:color="auto"/>
              <w:bottom w:val="single" w:sz="4" w:space="0" w:color="auto"/>
              <w:right w:val="single" w:sz="8" w:space="0" w:color="auto"/>
            </w:tcBorders>
            <w:shd w:val="clear" w:color="auto" w:fill="auto"/>
            <w:vAlign w:val="center"/>
            <w:hideMark/>
          </w:tcPr>
          <w:p w14:paraId="0B2EC509" w14:textId="77777777" w:rsidR="005F16C5" w:rsidRPr="00B852EF" w:rsidRDefault="005F16C5" w:rsidP="004C306A">
            <w:pPr>
              <w:jc w:val="center"/>
              <w:rPr>
                <w:sz w:val="20"/>
                <w:szCs w:val="20"/>
              </w:rPr>
            </w:pPr>
            <w:r w:rsidRPr="00B852EF">
              <w:rPr>
                <w:sz w:val="20"/>
                <w:szCs w:val="20"/>
              </w:rPr>
              <w:t>013</w:t>
            </w:r>
          </w:p>
        </w:tc>
      </w:tr>
      <w:tr w:rsidR="005F16C5" w:rsidRPr="00B852EF" w14:paraId="38844572"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50748BB4" w14:textId="77777777" w:rsidR="005F16C5" w:rsidRPr="00B852EF" w:rsidRDefault="005F16C5" w:rsidP="004C306A">
            <w:pPr>
              <w:rPr>
                <w:sz w:val="20"/>
                <w:szCs w:val="20"/>
              </w:rPr>
            </w:pPr>
            <w:r w:rsidRPr="00B852EF">
              <w:rPr>
                <w:sz w:val="20"/>
                <w:szCs w:val="20"/>
              </w:rPr>
              <w:t>Vrijednosno usklađenje imovine - zajmovi županijskim proračunima za međunarodne zajmove - dug</w:t>
            </w:r>
          </w:p>
        </w:tc>
        <w:tc>
          <w:tcPr>
            <w:tcW w:w="1843" w:type="dxa"/>
            <w:tcBorders>
              <w:top w:val="nil"/>
              <w:left w:val="nil"/>
              <w:bottom w:val="single" w:sz="4" w:space="0" w:color="auto"/>
              <w:right w:val="single" w:sz="8" w:space="0" w:color="auto"/>
            </w:tcBorders>
            <w:shd w:val="clear" w:color="auto" w:fill="auto"/>
            <w:noWrap/>
            <w:vAlign w:val="center"/>
            <w:hideMark/>
          </w:tcPr>
          <w:p w14:paraId="222054B4" w14:textId="77777777" w:rsidR="005F16C5" w:rsidRPr="00B852EF" w:rsidRDefault="005F16C5" w:rsidP="004C306A">
            <w:pPr>
              <w:jc w:val="right"/>
              <w:rPr>
                <w:sz w:val="20"/>
                <w:szCs w:val="20"/>
              </w:rPr>
            </w:pPr>
            <w:r w:rsidRPr="00B852EF">
              <w:rPr>
                <w:sz w:val="20"/>
                <w:szCs w:val="20"/>
              </w:rPr>
              <w:t>-191.272,09</w:t>
            </w:r>
          </w:p>
        </w:tc>
        <w:tc>
          <w:tcPr>
            <w:tcW w:w="1842" w:type="dxa"/>
            <w:tcBorders>
              <w:top w:val="nil"/>
              <w:left w:val="nil"/>
              <w:bottom w:val="single" w:sz="4" w:space="0" w:color="auto"/>
              <w:right w:val="single" w:sz="8" w:space="0" w:color="auto"/>
            </w:tcBorders>
            <w:shd w:val="clear" w:color="auto" w:fill="auto"/>
            <w:vAlign w:val="center"/>
            <w:hideMark/>
          </w:tcPr>
          <w:p w14:paraId="4D5E4ED6"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36035297" w14:textId="77777777" w:rsidR="005F16C5" w:rsidRPr="00B852EF" w:rsidRDefault="005F16C5" w:rsidP="004C306A">
            <w:pPr>
              <w:jc w:val="center"/>
              <w:rPr>
                <w:sz w:val="20"/>
                <w:szCs w:val="20"/>
              </w:rPr>
            </w:pPr>
            <w:r w:rsidRPr="00B852EF">
              <w:rPr>
                <w:sz w:val="20"/>
                <w:szCs w:val="20"/>
              </w:rPr>
              <w:t>013</w:t>
            </w:r>
          </w:p>
        </w:tc>
      </w:tr>
      <w:tr w:rsidR="005F16C5" w:rsidRPr="00B852EF" w14:paraId="093CE2DD"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568F10B" w14:textId="77777777" w:rsidR="005F16C5" w:rsidRPr="00B852EF" w:rsidRDefault="005F16C5" w:rsidP="004C306A">
            <w:pPr>
              <w:rPr>
                <w:sz w:val="20"/>
                <w:szCs w:val="20"/>
              </w:rPr>
            </w:pPr>
            <w:r w:rsidRPr="00B852EF">
              <w:rPr>
                <w:sz w:val="20"/>
                <w:szCs w:val="20"/>
              </w:rPr>
              <w:t>Vrijednosno usklađenje imovine - zajmovi ostalim izvanproračunskim korisnicima DP  - dug</w:t>
            </w:r>
          </w:p>
        </w:tc>
        <w:tc>
          <w:tcPr>
            <w:tcW w:w="1843" w:type="dxa"/>
            <w:tcBorders>
              <w:top w:val="nil"/>
              <w:left w:val="nil"/>
              <w:bottom w:val="single" w:sz="4" w:space="0" w:color="auto"/>
              <w:right w:val="single" w:sz="8" w:space="0" w:color="auto"/>
            </w:tcBorders>
            <w:shd w:val="clear" w:color="auto" w:fill="auto"/>
            <w:noWrap/>
            <w:vAlign w:val="center"/>
            <w:hideMark/>
          </w:tcPr>
          <w:p w14:paraId="65F40989" w14:textId="77777777" w:rsidR="005F16C5" w:rsidRPr="00B852EF" w:rsidRDefault="005F16C5" w:rsidP="004C306A">
            <w:pPr>
              <w:jc w:val="right"/>
              <w:rPr>
                <w:sz w:val="20"/>
                <w:szCs w:val="20"/>
              </w:rPr>
            </w:pPr>
            <w:r w:rsidRPr="00B852EF">
              <w:rPr>
                <w:sz w:val="20"/>
                <w:szCs w:val="20"/>
              </w:rPr>
              <w:t>-122.057,35</w:t>
            </w:r>
          </w:p>
        </w:tc>
        <w:tc>
          <w:tcPr>
            <w:tcW w:w="1842" w:type="dxa"/>
            <w:tcBorders>
              <w:top w:val="nil"/>
              <w:left w:val="nil"/>
              <w:bottom w:val="single" w:sz="4" w:space="0" w:color="auto"/>
              <w:right w:val="single" w:sz="8" w:space="0" w:color="auto"/>
            </w:tcBorders>
            <w:shd w:val="clear" w:color="auto" w:fill="auto"/>
            <w:vAlign w:val="center"/>
            <w:hideMark/>
          </w:tcPr>
          <w:p w14:paraId="5E1EC51A"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5D7C6BB5" w14:textId="77777777" w:rsidR="005F16C5" w:rsidRPr="00B852EF" w:rsidRDefault="005F16C5" w:rsidP="004C306A">
            <w:pPr>
              <w:jc w:val="center"/>
              <w:rPr>
                <w:sz w:val="20"/>
                <w:szCs w:val="20"/>
              </w:rPr>
            </w:pPr>
            <w:r w:rsidRPr="00B852EF">
              <w:rPr>
                <w:sz w:val="20"/>
                <w:szCs w:val="20"/>
              </w:rPr>
              <w:t>013</w:t>
            </w:r>
          </w:p>
        </w:tc>
      </w:tr>
      <w:tr w:rsidR="005F16C5" w:rsidRPr="00B852EF" w14:paraId="0456BBD7"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7FD7DF2B" w14:textId="77777777" w:rsidR="005F16C5" w:rsidRPr="00B852EF" w:rsidRDefault="005F16C5" w:rsidP="004C306A">
            <w:pPr>
              <w:rPr>
                <w:sz w:val="20"/>
                <w:szCs w:val="20"/>
              </w:rPr>
            </w:pPr>
            <w:r w:rsidRPr="00B852EF">
              <w:rPr>
                <w:sz w:val="20"/>
                <w:szCs w:val="20"/>
              </w:rPr>
              <w:t>Vrijednosno usklađenje imovine - zajmovi gradskim proračunima za međunarodne zajmove - dug</w:t>
            </w:r>
          </w:p>
        </w:tc>
        <w:tc>
          <w:tcPr>
            <w:tcW w:w="1843" w:type="dxa"/>
            <w:tcBorders>
              <w:top w:val="nil"/>
              <w:left w:val="nil"/>
              <w:bottom w:val="single" w:sz="4" w:space="0" w:color="auto"/>
              <w:right w:val="single" w:sz="8" w:space="0" w:color="auto"/>
            </w:tcBorders>
            <w:shd w:val="clear" w:color="auto" w:fill="auto"/>
            <w:noWrap/>
            <w:vAlign w:val="center"/>
            <w:hideMark/>
          </w:tcPr>
          <w:p w14:paraId="17997F3E" w14:textId="77777777" w:rsidR="005F16C5" w:rsidRPr="00B852EF" w:rsidRDefault="005F16C5" w:rsidP="004C306A">
            <w:pPr>
              <w:jc w:val="right"/>
              <w:rPr>
                <w:sz w:val="20"/>
                <w:szCs w:val="20"/>
              </w:rPr>
            </w:pPr>
            <w:r w:rsidRPr="00B852EF">
              <w:rPr>
                <w:sz w:val="20"/>
                <w:szCs w:val="20"/>
              </w:rPr>
              <w:t>-25.155.750,00</w:t>
            </w:r>
          </w:p>
        </w:tc>
        <w:tc>
          <w:tcPr>
            <w:tcW w:w="1842" w:type="dxa"/>
            <w:tcBorders>
              <w:top w:val="nil"/>
              <w:left w:val="nil"/>
              <w:bottom w:val="single" w:sz="4" w:space="0" w:color="auto"/>
              <w:right w:val="single" w:sz="8" w:space="0" w:color="auto"/>
            </w:tcBorders>
            <w:shd w:val="clear" w:color="auto" w:fill="auto"/>
            <w:vAlign w:val="center"/>
            <w:hideMark/>
          </w:tcPr>
          <w:p w14:paraId="76B3227F"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513F4C16" w14:textId="77777777" w:rsidR="005F16C5" w:rsidRPr="00B852EF" w:rsidRDefault="005F16C5" w:rsidP="004C306A">
            <w:pPr>
              <w:jc w:val="center"/>
              <w:rPr>
                <w:sz w:val="20"/>
                <w:szCs w:val="20"/>
              </w:rPr>
            </w:pPr>
            <w:r w:rsidRPr="00B852EF">
              <w:rPr>
                <w:sz w:val="20"/>
                <w:szCs w:val="20"/>
              </w:rPr>
              <w:t>013</w:t>
            </w:r>
          </w:p>
        </w:tc>
      </w:tr>
      <w:tr w:rsidR="005F16C5" w:rsidRPr="00B852EF" w14:paraId="4BD6EAAE"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0E70E466" w14:textId="77777777" w:rsidR="005F16C5" w:rsidRPr="00B852EF" w:rsidRDefault="005F16C5" w:rsidP="004C306A">
            <w:pPr>
              <w:rPr>
                <w:sz w:val="20"/>
                <w:szCs w:val="20"/>
              </w:rPr>
            </w:pPr>
            <w:r w:rsidRPr="00B852EF">
              <w:rPr>
                <w:sz w:val="20"/>
                <w:szCs w:val="20"/>
              </w:rPr>
              <w:t>Vrijednosno usklađenje imovine -ostali inozemni vrijednosni papiri - dugoročni</w:t>
            </w:r>
          </w:p>
        </w:tc>
        <w:tc>
          <w:tcPr>
            <w:tcW w:w="1843" w:type="dxa"/>
            <w:tcBorders>
              <w:top w:val="nil"/>
              <w:left w:val="nil"/>
              <w:bottom w:val="single" w:sz="4" w:space="0" w:color="auto"/>
              <w:right w:val="single" w:sz="8" w:space="0" w:color="auto"/>
            </w:tcBorders>
            <w:shd w:val="clear" w:color="auto" w:fill="auto"/>
            <w:noWrap/>
            <w:vAlign w:val="center"/>
            <w:hideMark/>
          </w:tcPr>
          <w:p w14:paraId="1BF6E6DD" w14:textId="77777777" w:rsidR="005F16C5" w:rsidRPr="00B852EF" w:rsidRDefault="005F16C5" w:rsidP="004C306A">
            <w:pPr>
              <w:jc w:val="right"/>
              <w:rPr>
                <w:sz w:val="20"/>
                <w:szCs w:val="20"/>
              </w:rPr>
            </w:pPr>
            <w:r w:rsidRPr="00B852EF">
              <w:rPr>
                <w:sz w:val="20"/>
                <w:szCs w:val="20"/>
              </w:rPr>
              <w:t>2.034.942,58</w:t>
            </w:r>
          </w:p>
        </w:tc>
        <w:tc>
          <w:tcPr>
            <w:tcW w:w="1842" w:type="dxa"/>
            <w:tcBorders>
              <w:top w:val="nil"/>
              <w:left w:val="nil"/>
              <w:bottom w:val="single" w:sz="4" w:space="0" w:color="auto"/>
              <w:right w:val="single" w:sz="8" w:space="0" w:color="auto"/>
            </w:tcBorders>
            <w:shd w:val="clear" w:color="auto" w:fill="auto"/>
            <w:vAlign w:val="center"/>
            <w:hideMark/>
          </w:tcPr>
          <w:p w14:paraId="6A035C89"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1E01F313" w14:textId="77777777" w:rsidR="005F16C5" w:rsidRPr="00B852EF" w:rsidRDefault="005F16C5" w:rsidP="004C306A">
            <w:pPr>
              <w:jc w:val="center"/>
              <w:rPr>
                <w:sz w:val="20"/>
                <w:szCs w:val="20"/>
              </w:rPr>
            </w:pPr>
            <w:r w:rsidRPr="00B852EF">
              <w:rPr>
                <w:sz w:val="20"/>
                <w:szCs w:val="20"/>
              </w:rPr>
              <w:t>014</w:t>
            </w:r>
          </w:p>
        </w:tc>
      </w:tr>
      <w:tr w:rsidR="005F16C5" w:rsidRPr="00B852EF" w14:paraId="17A229DC"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0EF5F9B1" w14:textId="77777777" w:rsidR="005F16C5" w:rsidRPr="00B852EF" w:rsidRDefault="005F16C5" w:rsidP="004C306A">
            <w:pPr>
              <w:rPr>
                <w:sz w:val="20"/>
                <w:szCs w:val="20"/>
              </w:rPr>
            </w:pPr>
            <w:r w:rsidRPr="00B852EF">
              <w:rPr>
                <w:sz w:val="20"/>
                <w:szCs w:val="20"/>
              </w:rPr>
              <w:t>Vrijednosno usklađenje imovine -dionice i udjeli - članski kapital IBRD</w:t>
            </w:r>
          </w:p>
        </w:tc>
        <w:tc>
          <w:tcPr>
            <w:tcW w:w="1843" w:type="dxa"/>
            <w:tcBorders>
              <w:top w:val="nil"/>
              <w:left w:val="nil"/>
              <w:bottom w:val="single" w:sz="4" w:space="0" w:color="auto"/>
              <w:right w:val="single" w:sz="8" w:space="0" w:color="auto"/>
            </w:tcBorders>
            <w:shd w:val="clear" w:color="auto" w:fill="auto"/>
            <w:noWrap/>
            <w:vAlign w:val="center"/>
            <w:hideMark/>
          </w:tcPr>
          <w:p w14:paraId="0D78C509" w14:textId="77777777" w:rsidR="005F16C5" w:rsidRPr="00B852EF" w:rsidRDefault="005F16C5" w:rsidP="004C306A">
            <w:pPr>
              <w:jc w:val="right"/>
              <w:rPr>
                <w:sz w:val="20"/>
                <w:szCs w:val="20"/>
              </w:rPr>
            </w:pPr>
            <w:r w:rsidRPr="00B852EF">
              <w:rPr>
                <w:sz w:val="20"/>
                <w:szCs w:val="20"/>
              </w:rPr>
              <w:t>13.419.366,22</w:t>
            </w:r>
          </w:p>
        </w:tc>
        <w:tc>
          <w:tcPr>
            <w:tcW w:w="1842" w:type="dxa"/>
            <w:tcBorders>
              <w:top w:val="nil"/>
              <w:left w:val="nil"/>
              <w:bottom w:val="single" w:sz="4" w:space="0" w:color="auto"/>
              <w:right w:val="single" w:sz="8" w:space="0" w:color="auto"/>
            </w:tcBorders>
            <w:shd w:val="clear" w:color="auto" w:fill="auto"/>
            <w:vAlign w:val="center"/>
            <w:hideMark/>
          </w:tcPr>
          <w:p w14:paraId="6D2B938D"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3BC88BA6" w14:textId="77777777" w:rsidR="005F16C5" w:rsidRPr="00B852EF" w:rsidRDefault="005F16C5" w:rsidP="004C306A">
            <w:pPr>
              <w:jc w:val="center"/>
              <w:rPr>
                <w:sz w:val="20"/>
                <w:szCs w:val="20"/>
              </w:rPr>
            </w:pPr>
            <w:r w:rsidRPr="00B852EF">
              <w:rPr>
                <w:sz w:val="20"/>
                <w:szCs w:val="20"/>
              </w:rPr>
              <w:t>015</w:t>
            </w:r>
          </w:p>
        </w:tc>
      </w:tr>
      <w:tr w:rsidR="005F16C5" w:rsidRPr="00B852EF" w14:paraId="6B2AB758"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32CAC7F" w14:textId="77777777" w:rsidR="005F16C5" w:rsidRPr="00B852EF" w:rsidRDefault="005F16C5" w:rsidP="004C306A">
            <w:pPr>
              <w:rPr>
                <w:sz w:val="20"/>
                <w:szCs w:val="20"/>
              </w:rPr>
            </w:pPr>
            <w:r w:rsidRPr="00B852EF">
              <w:rPr>
                <w:sz w:val="20"/>
                <w:szCs w:val="20"/>
              </w:rPr>
              <w:t>Vrijednosno usklađenje imovine -dionice i udjeli - članski kapital IFC</w:t>
            </w:r>
          </w:p>
        </w:tc>
        <w:tc>
          <w:tcPr>
            <w:tcW w:w="1843" w:type="dxa"/>
            <w:tcBorders>
              <w:top w:val="nil"/>
              <w:left w:val="nil"/>
              <w:bottom w:val="single" w:sz="4" w:space="0" w:color="auto"/>
              <w:right w:val="single" w:sz="8" w:space="0" w:color="auto"/>
            </w:tcBorders>
            <w:shd w:val="clear" w:color="auto" w:fill="auto"/>
            <w:noWrap/>
            <w:vAlign w:val="center"/>
            <w:hideMark/>
          </w:tcPr>
          <w:p w14:paraId="23E25A3B" w14:textId="77777777" w:rsidR="005F16C5" w:rsidRPr="00B852EF" w:rsidRDefault="005F16C5" w:rsidP="004C306A">
            <w:pPr>
              <w:jc w:val="right"/>
              <w:rPr>
                <w:sz w:val="20"/>
                <w:szCs w:val="20"/>
              </w:rPr>
            </w:pPr>
            <w:r w:rsidRPr="00B852EF">
              <w:rPr>
                <w:sz w:val="20"/>
                <w:szCs w:val="20"/>
              </w:rPr>
              <w:t>11.797.461,84</w:t>
            </w:r>
          </w:p>
        </w:tc>
        <w:tc>
          <w:tcPr>
            <w:tcW w:w="1842" w:type="dxa"/>
            <w:tcBorders>
              <w:top w:val="nil"/>
              <w:left w:val="nil"/>
              <w:bottom w:val="single" w:sz="4" w:space="0" w:color="auto"/>
              <w:right w:val="single" w:sz="8" w:space="0" w:color="auto"/>
            </w:tcBorders>
            <w:shd w:val="clear" w:color="auto" w:fill="auto"/>
            <w:vAlign w:val="center"/>
            <w:hideMark/>
          </w:tcPr>
          <w:p w14:paraId="3DAC57F5"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17B739A2" w14:textId="77777777" w:rsidR="005F16C5" w:rsidRPr="00B852EF" w:rsidRDefault="005F16C5" w:rsidP="004C306A">
            <w:pPr>
              <w:jc w:val="center"/>
              <w:rPr>
                <w:sz w:val="20"/>
                <w:szCs w:val="20"/>
              </w:rPr>
            </w:pPr>
            <w:r w:rsidRPr="00B852EF">
              <w:rPr>
                <w:sz w:val="20"/>
                <w:szCs w:val="20"/>
              </w:rPr>
              <w:t>015</w:t>
            </w:r>
          </w:p>
        </w:tc>
      </w:tr>
      <w:tr w:rsidR="005F16C5" w:rsidRPr="00B852EF" w14:paraId="31C43CF7"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60C88D59" w14:textId="77777777" w:rsidR="005F16C5" w:rsidRPr="00B852EF" w:rsidRDefault="005F16C5" w:rsidP="004C306A">
            <w:pPr>
              <w:rPr>
                <w:sz w:val="20"/>
                <w:szCs w:val="20"/>
              </w:rPr>
            </w:pPr>
            <w:r w:rsidRPr="00B852EF">
              <w:rPr>
                <w:sz w:val="20"/>
                <w:szCs w:val="20"/>
              </w:rPr>
              <w:t>Vrijednosno usklađenje imovine -dionice i udjeli - članski kapital MIGA</w:t>
            </w:r>
          </w:p>
        </w:tc>
        <w:tc>
          <w:tcPr>
            <w:tcW w:w="1843" w:type="dxa"/>
            <w:tcBorders>
              <w:top w:val="nil"/>
              <w:left w:val="nil"/>
              <w:bottom w:val="single" w:sz="4" w:space="0" w:color="auto"/>
              <w:right w:val="single" w:sz="8" w:space="0" w:color="auto"/>
            </w:tcBorders>
            <w:shd w:val="clear" w:color="auto" w:fill="auto"/>
            <w:noWrap/>
            <w:vAlign w:val="center"/>
            <w:hideMark/>
          </w:tcPr>
          <w:p w14:paraId="08E37C35" w14:textId="77777777" w:rsidR="005F16C5" w:rsidRPr="00B852EF" w:rsidRDefault="005F16C5" w:rsidP="004C306A">
            <w:pPr>
              <w:jc w:val="right"/>
              <w:rPr>
                <w:sz w:val="20"/>
                <w:szCs w:val="20"/>
              </w:rPr>
            </w:pPr>
            <w:r w:rsidRPr="00B852EF">
              <w:rPr>
                <w:sz w:val="20"/>
                <w:szCs w:val="20"/>
              </w:rPr>
              <w:t>341.936,19</w:t>
            </w:r>
          </w:p>
        </w:tc>
        <w:tc>
          <w:tcPr>
            <w:tcW w:w="1842" w:type="dxa"/>
            <w:tcBorders>
              <w:top w:val="nil"/>
              <w:left w:val="nil"/>
              <w:bottom w:val="single" w:sz="4" w:space="0" w:color="auto"/>
              <w:right w:val="single" w:sz="8" w:space="0" w:color="auto"/>
            </w:tcBorders>
            <w:shd w:val="clear" w:color="auto" w:fill="auto"/>
            <w:vAlign w:val="center"/>
            <w:hideMark/>
          </w:tcPr>
          <w:p w14:paraId="1A20ADCF"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72B8ACA5" w14:textId="77777777" w:rsidR="005F16C5" w:rsidRPr="00B852EF" w:rsidRDefault="005F16C5" w:rsidP="004C306A">
            <w:pPr>
              <w:jc w:val="center"/>
              <w:rPr>
                <w:sz w:val="20"/>
                <w:szCs w:val="20"/>
              </w:rPr>
            </w:pPr>
            <w:r w:rsidRPr="00B852EF">
              <w:rPr>
                <w:sz w:val="20"/>
                <w:szCs w:val="20"/>
              </w:rPr>
              <w:t>015</w:t>
            </w:r>
          </w:p>
        </w:tc>
      </w:tr>
      <w:tr w:rsidR="005F16C5" w:rsidRPr="00B852EF" w14:paraId="0386B87D"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50638F7E" w14:textId="77777777" w:rsidR="005F16C5" w:rsidRPr="00B852EF" w:rsidRDefault="005F16C5" w:rsidP="004C306A">
            <w:pPr>
              <w:rPr>
                <w:sz w:val="20"/>
                <w:szCs w:val="20"/>
              </w:rPr>
            </w:pPr>
            <w:r w:rsidRPr="00B852EF">
              <w:rPr>
                <w:sz w:val="20"/>
                <w:szCs w:val="20"/>
              </w:rPr>
              <w:t>Vrijednosno usklađenje imovine -dionice i udjeli - članski kapital EBRD</w:t>
            </w:r>
          </w:p>
        </w:tc>
        <w:tc>
          <w:tcPr>
            <w:tcW w:w="1843" w:type="dxa"/>
            <w:tcBorders>
              <w:top w:val="nil"/>
              <w:left w:val="nil"/>
              <w:bottom w:val="single" w:sz="4" w:space="0" w:color="auto"/>
              <w:right w:val="single" w:sz="8" w:space="0" w:color="auto"/>
            </w:tcBorders>
            <w:shd w:val="clear" w:color="auto" w:fill="auto"/>
            <w:noWrap/>
            <w:vAlign w:val="center"/>
            <w:hideMark/>
          </w:tcPr>
          <w:p w14:paraId="1684C4B8" w14:textId="77777777" w:rsidR="005F16C5" w:rsidRPr="00B852EF" w:rsidRDefault="005F16C5" w:rsidP="004C306A">
            <w:pPr>
              <w:jc w:val="right"/>
              <w:rPr>
                <w:sz w:val="20"/>
                <w:szCs w:val="20"/>
              </w:rPr>
            </w:pPr>
            <w:r w:rsidRPr="00B852EF">
              <w:rPr>
                <w:sz w:val="20"/>
                <w:szCs w:val="20"/>
              </w:rPr>
              <w:t>-450.238,60</w:t>
            </w:r>
          </w:p>
        </w:tc>
        <w:tc>
          <w:tcPr>
            <w:tcW w:w="1842" w:type="dxa"/>
            <w:tcBorders>
              <w:top w:val="nil"/>
              <w:left w:val="nil"/>
              <w:bottom w:val="single" w:sz="4" w:space="0" w:color="auto"/>
              <w:right w:val="single" w:sz="8" w:space="0" w:color="auto"/>
            </w:tcBorders>
            <w:shd w:val="clear" w:color="auto" w:fill="auto"/>
            <w:vAlign w:val="center"/>
            <w:hideMark/>
          </w:tcPr>
          <w:p w14:paraId="7E7B888D"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643294E3" w14:textId="77777777" w:rsidR="005F16C5" w:rsidRPr="00B852EF" w:rsidRDefault="005F16C5" w:rsidP="004C306A">
            <w:pPr>
              <w:jc w:val="center"/>
              <w:rPr>
                <w:sz w:val="20"/>
                <w:szCs w:val="20"/>
              </w:rPr>
            </w:pPr>
            <w:r w:rsidRPr="00B852EF">
              <w:rPr>
                <w:sz w:val="20"/>
                <w:szCs w:val="20"/>
              </w:rPr>
              <w:t>015</w:t>
            </w:r>
          </w:p>
        </w:tc>
      </w:tr>
      <w:tr w:rsidR="005F16C5" w:rsidRPr="00B852EF" w14:paraId="5572DB85"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626035BA" w14:textId="77777777" w:rsidR="005F16C5" w:rsidRPr="00B852EF" w:rsidRDefault="005F16C5" w:rsidP="004C306A">
            <w:pPr>
              <w:rPr>
                <w:sz w:val="20"/>
                <w:szCs w:val="20"/>
              </w:rPr>
            </w:pPr>
            <w:r w:rsidRPr="00B852EF">
              <w:rPr>
                <w:sz w:val="20"/>
                <w:szCs w:val="20"/>
              </w:rPr>
              <w:t>Vrijednosno usklađenje imovine -dionice i udjeli - članski kapital CEB</w:t>
            </w:r>
          </w:p>
        </w:tc>
        <w:tc>
          <w:tcPr>
            <w:tcW w:w="1843" w:type="dxa"/>
            <w:tcBorders>
              <w:top w:val="nil"/>
              <w:left w:val="nil"/>
              <w:bottom w:val="single" w:sz="4" w:space="0" w:color="auto"/>
              <w:right w:val="single" w:sz="8" w:space="0" w:color="auto"/>
            </w:tcBorders>
            <w:shd w:val="clear" w:color="auto" w:fill="auto"/>
            <w:noWrap/>
            <w:vAlign w:val="center"/>
            <w:hideMark/>
          </w:tcPr>
          <w:p w14:paraId="1FFA01C1" w14:textId="77777777" w:rsidR="005F16C5" w:rsidRPr="00B852EF" w:rsidRDefault="005F16C5" w:rsidP="004C306A">
            <w:pPr>
              <w:jc w:val="right"/>
              <w:rPr>
                <w:sz w:val="20"/>
                <w:szCs w:val="20"/>
              </w:rPr>
            </w:pPr>
            <w:r w:rsidRPr="00B852EF">
              <w:rPr>
                <w:sz w:val="20"/>
                <w:szCs w:val="20"/>
              </w:rPr>
              <w:t>-46.810,97</w:t>
            </w:r>
          </w:p>
        </w:tc>
        <w:tc>
          <w:tcPr>
            <w:tcW w:w="1842" w:type="dxa"/>
            <w:tcBorders>
              <w:top w:val="nil"/>
              <w:left w:val="nil"/>
              <w:bottom w:val="single" w:sz="4" w:space="0" w:color="auto"/>
              <w:right w:val="single" w:sz="8" w:space="0" w:color="auto"/>
            </w:tcBorders>
            <w:shd w:val="clear" w:color="auto" w:fill="auto"/>
            <w:vAlign w:val="center"/>
            <w:hideMark/>
          </w:tcPr>
          <w:p w14:paraId="55221324"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1745379A" w14:textId="77777777" w:rsidR="005F16C5" w:rsidRPr="00B852EF" w:rsidRDefault="005F16C5" w:rsidP="004C306A">
            <w:pPr>
              <w:jc w:val="center"/>
              <w:rPr>
                <w:sz w:val="20"/>
                <w:szCs w:val="20"/>
              </w:rPr>
            </w:pPr>
            <w:r w:rsidRPr="00B852EF">
              <w:rPr>
                <w:sz w:val="20"/>
                <w:szCs w:val="20"/>
              </w:rPr>
              <w:t>015</w:t>
            </w:r>
          </w:p>
        </w:tc>
      </w:tr>
      <w:tr w:rsidR="005F16C5" w:rsidRPr="00B852EF" w14:paraId="0E9AD0A6"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325C6F95" w14:textId="77777777" w:rsidR="005F16C5" w:rsidRPr="00B852EF" w:rsidRDefault="005F16C5" w:rsidP="004C306A">
            <w:pPr>
              <w:rPr>
                <w:sz w:val="20"/>
                <w:szCs w:val="20"/>
              </w:rPr>
            </w:pPr>
            <w:r w:rsidRPr="00B852EF">
              <w:rPr>
                <w:sz w:val="20"/>
                <w:szCs w:val="20"/>
              </w:rPr>
              <w:t>Vrijednosno usklađenje imovine -dionice i udjeli - članski kapital IDB</w:t>
            </w:r>
          </w:p>
        </w:tc>
        <w:tc>
          <w:tcPr>
            <w:tcW w:w="1843" w:type="dxa"/>
            <w:tcBorders>
              <w:top w:val="nil"/>
              <w:left w:val="nil"/>
              <w:bottom w:val="single" w:sz="4" w:space="0" w:color="auto"/>
              <w:right w:val="single" w:sz="8" w:space="0" w:color="auto"/>
            </w:tcBorders>
            <w:shd w:val="clear" w:color="auto" w:fill="auto"/>
            <w:noWrap/>
            <w:vAlign w:val="center"/>
            <w:hideMark/>
          </w:tcPr>
          <w:p w14:paraId="1F31810C" w14:textId="77777777" w:rsidR="005F16C5" w:rsidRPr="00B852EF" w:rsidRDefault="005F16C5" w:rsidP="004C306A">
            <w:pPr>
              <w:jc w:val="right"/>
              <w:rPr>
                <w:sz w:val="20"/>
                <w:szCs w:val="20"/>
              </w:rPr>
            </w:pPr>
            <w:r w:rsidRPr="00B852EF">
              <w:rPr>
                <w:sz w:val="20"/>
                <w:szCs w:val="20"/>
              </w:rPr>
              <w:t>3.245.630,18</w:t>
            </w:r>
          </w:p>
        </w:tc>
        <w:tc>
          <w:tcPr>
            <w:tcW w:w="1842" w:type="dxa"/>
            <w:tcBorders>
              <w:top w:val="nil"/>
              <w:left w:val="nil"/>
              <w:bottom w:val="single" w:sz="4" w:space="0" w:color="auto"/>
              <w:right w:val="single" w:sz="8" w:space="0" w:color="auto"/>
            </w:tcBorders>
            <w:shd w:val="clear" w:color="auto" w:fill="auto"/>
            <w:vAlign w:val="center"/>
            <w:hideMark/>
          </w:tcPr>
          <w:p w14:paraId="49305BA3"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5F38517B" w14:textId="77777777" w:rsidR="005F16C5" w:rsidRPr="00B852EF" w:rsidRDefault="005F16C5" w:rsidP="004C306A">
            <w:pPr>
              <w:jc w:val="center"/>
              <w:rPr>
                <w:sz w:val="20"/>
                <w:szCs w:val="20"/>
              </w:rPr>
            </w:pPr>
            <w:r w:rsidRPr="00B852EF">
              <w:rPr>
                <w:sz w:val="20"/>
                <w:szCs w:val="20"/>
              </w:rPr>
              <w:t>015</w:t>
            </w:r>
          </w:p>
        </w:tc>
      </w:tr>
      <w:tr w:rsidR="005F16C5" w:rsidRPr="00B852EF" w14:paraId="47931D2F" w14:textId="77777777" w:rsidTr="004C306A">
        <w:trPr>
          <w:trHeight w:val="540"/>
        </w:trPr>
        <w:tc>
          <w:tcPr>
            <w:tcW w:w="4810" w:type="dxa"/>
            <w:tcBorders>
              <w:top w:val="nil"/>
              <w:left w:val="single" w:sz="8" w:space="0" w:color="auto"/>
              <w:bottom w:val="nil"/>
              <w:right w:val="single" w:sz="8" w:space="0" w:color="auto"/>
            </w:tcBorders>
            <w:shd w:val="clear" w:color="auto" w:fill="auto"/>
            <w:vAlign w:val="center"/>
            <w:hideMark/>
          </w:tcPr>
          <w:p w14:paraId="64433889" w14:textId="77777777" w:rsidR="005F16C5" w:rsidRPr="00B852EF" w:rsidRDefault="005F16C5" w:rsidP="004C306A">
            <w:pPr>
              <w:rPr>
                <w:sz w:val="20"/>
                <w:szCs w:val="20"/>
              </w:rPr>
            </w:pPr>
            <w:r w:rsidRPr="00B852EF">
              <w:rPr>
                <w:sz w:val="20"/>
                <w:szCs w:val="20"/>
              </w:rPr>
              <w:t>Vrijednosno usklađenje imovine -dionice i udjeli - članski kapital EIB</w:t>
            </w:r>
          </w:p>
        </w:tc>
        <w:tc>
          <w:tcPr>
            <w:tcW w:w="1843" w:type="dxa"/>
            <w:tcBorders>
              <w:top w:val="nil"/>
              <w:left w:val="nil"/>
              <w:bottom w:val="nil"/>
              <w:right w:val="single" w:sz="8" w:space="0" w:color="auto"/>
            </w:tcBorders>
            <w:shd w:val="clear" w:color="auto" w:fill="auto"/>
            <w:noWrap/>
            <w:vAlign w:val="center"/>
            <w:hideMark/>
          </w:tcPr>
          <w:p w14:paraId="01DCBD82" w14:textId="77777777" w:rsidR="005F16C5" w:rsidRPr="00B852EF" w:rsidRDefault="005F16C5" w:rsidP="004C306A">
            <w:pPr>
              <w:jc w:val="right"/>
              <w:rPr>
                <w:sz w:val="20"/>
                <w:szCs w:val="20"/>
              </w:rPr>
            </w:pPr>
            <w:r w:rsidRPr="00B852EF">
              <w:rPr>
                <w:sz w:val="20"/>
                <w:szCs w:val="20"/>
              </w:rPr>
              <w:t>-1.568.248,91</w:t>
            </w:r>
          </w:p>
        </w:tc>
        <w:tc>
          <w:tcPr>
            <w:tcW w:w="1842" w:type="dxa"/>
            <w:tcBorders>
              <w:top w:val="nil"/>
              <w:left w:val="nil"/>
              <w:bottom w:val="nil"/>
              <w:right w:val="single" w:sz="8" w:space="0" w:color="auto"/>
            </w:tcBorders>
            <w:shd w:val="clear" w:color="auto" w:fill="auto"/>
            <w:vAlign w:val="center"/>
            <w:hideMark/>
          </w:tcPr>
          <w:p w14:paraId="0C5EE09F" w14:textId="77777777" w:rsidR="005F16C5" w:rsidRPr="00B852EF" w:rsidRDefault="005F16C5" w:rsidP="004C306A">
            <w:pPr>
              <w:jc w:val="center"/>
              <w:rPr>
                <w:sz w:val="20"/>
                <w:szCs w:val="20"/>
              </w:rPr>
            </w:pPr>
            <w:r w:rsidRPr="00B852EF">
              <w:rPr>
                <w:sz w:val="20"/>
                <w:szCs w:val="20"/>
              </w:rPr>
              <w:t>smanjenje vrijednosti imovine</w:t>
            </w:r>
          </w:p>
        </w:tc>
        <w:tc>
          <w:tcPr>
            <w:tcW w:w="851" w:type="dxa"/>
            <w:tcBorders>
              <w:top w:val="nil"/>
              <w:left w:val="nil"/>
              <w:bottom w:val="nil"/>
              <w:right w:val="single" w:sz="8" w:space="0" w:color="auto"/>
            </w:tcBorders>
            <w:shd w:val="clear" w:color="auto" w:fill="auto"/>
            <w:vAlign w:val="center"/>
            <w:hideMark/>
          </w:tcPr>
          <w:p w14:paraId="2EDBF6AD" w14:textId="77777777" w:rsidR="005F16C5" w:rsidRPr="00B852EF" w:rsidRDefault="005F16C5" w:rsidP="004C306A">
            <w:pPr>
              <w:jc w:val="center"/>
              <w:rPr>
                <w:sz w:val="20"/>
                <w:szCs w:val="20"/>
              </w:rPr>
            </w:pPr>
            <w:r w:rsidRPr="00B852EF">
              <w:rPr>
                <w:sz w:val="20"/>
                <w:szCs w:val="20"/>
              </w:rPr>
              <w:t>015</w:t>
            </w:r>
          </w:p>
        </w:tc>
      </w:tr>
      <w:tr w:rsidR="005F16C5" w:rsidRPr="00B852EF" w14:paraId="00A183F6" w14:textId="77777777" w:rsidTr="004C306A">
        <w:trPr>
          <w:trHeight w:val="54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37691" w14:textId="77777777" w:rsidR="005F16C5" w:rsidRPr="00B852EF" w:rsidRDefault="005F16C5" w:rsidP="004C306A">
            <w:pPr>
              <w:rPr>
                <w:sz w:val="20"/>
                <w:szCs w:val="20"/>
              </w:rPr>
            </w:pPr>
            <w:r w:rsidRPr="00B852EF">
              <w:rPr>
                <w:sz w:val="20"/>
                <w:szCs w:val="20"/>
              </w:rPr>
              <w:t xml:space="preserve">Vrijednosno usklađenje imovine -dionice i udjeli - članski kapital    </w:t>
            </w:r>
            <w:r w:rsidRPr="00B852EF">
              <w:rPr>
                <w:color w:val="000000"/>
                <w:sz w:val="20"/>
                <w:szCs w:val="20"/>
              </w:rPr>
              <w:t xml:space="preserve"> IIC</w:t>
            </w:r>
          </w:p>
        </w:tc>
        <w:tc>
          <w:tcPr>
            <w:tcW w:w="1843" w:type="dxa"/>
            <w:tcBorders>
              <w:top w:val="single" w:sz="4" w:space="0" w:color="auto"/>
              <w:left w:val="single" w:sz="8" w:space="0" w:color="auto"/>
              <w:bottom w:val="nil"/>
              <w:right w:val="single" w:sz="8" w:space="0" w:color="auto"/>
            </w:tcBorders>
            <w:shd w:val="clear" w:color="auto" w:fill="auto"/>
            <w:noWrap/>
            <w:vAlign w:val="center"/>
            <w:hideMark/>
          </w:tcPr>
          <w:p w14:paraId="58787CC7" w14:textId="77777777" w:rsidR="005F16C5" w:rsidRPr="00B852EF" w:rsidRDefault="005F16C5" w:rsidP="004C306A">
            <w:pPr>
              <w:jc w:val="right"/>
              <w:rPr>
                <w:sz w:val="20"/>
                <w:szCs w:val="20"/>
              </w:rPr>
            </w:pPr>
            <w:r w:rsidRPr="00B852EF">
              <w:rPr>
                <w:sz w:val="20"/>
                <w:szCs w:val="20"/>
              </w:rPr>
              <w:t>51.552,56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7D1E9" w14:textId="77777777" w:rsidR="005F16C5" w:rsidRPr="00B852EF" w:rsidRDefault="005F16C5" w:rsidP="004C306A">
            <w:pPr>
              <w:jc w:val="center"/>
              <w:rPr>
                <w:sz w:val="20"/>
                <w:szCs w:val="20"/>
              </w:rPr>
            </w:pPr>
            <w:r w:rsidRPr="00B852EF">
              <w:rPr>
                <w:sz w:val="20"/>
                <w:szCs w:val="20"/>
              </w:rPr>
              <w:t>povećanje vrijednosti imovine</w:t>
            </w:r>
          </w:p>
        </w:tc>
        <w:tc>
          <w:tcPr>
            <w:tcW w:w="851" w:type="dxa"/>
            <w:tcBorders>
              <w:top w:val="single" w:sz="4" w:space="0" w:color="auto"/>
              <w:left w:val="single" w:sz="8" w:space="0" w:color="auto"/>
              <w:bottom w:val="nil"/>
              <w:right w:val="single" w:sz="8" w:space="0" w:color="auto"/>
            </w:tcBorders>
            <w:shd w:val="clear" w:color="auto" w:fill="auto"/>
            <w:vAlign w:val="center"/>
            <w:hideMark/>
          </w:tcPr>
          <w:p w14:paraId="411C9589" w14:textId="77777777" w:rsidR="005F16C5" w:rsidRPr="00B852EF" w:rsidRDefault="005F16C5" w:rsidP="004C306A">
            <w:pPr>
              <w:jc w:val="center"/>
              <w:rPr>
                <w:sz w:val="20"/>
                <w:szCs w:val="20"/>
              </w:rPr>
            </w:pPr>
            <w:r w:rsidRPr="00B852EF">
              <w:rPr>
                <w:sz w:val="20"/>
                <w:szCs w:val="20"/>
              </w:rPr>
              <w:t>015</w:t>
            </w:r>
          </w:p>
        </w:tc>
      </w:tr>
      <w:tr w:rsidR="005F16C5" w:rsidRPr="00B852EF" w14:paraId="701A6D03" w14:textId="77777777" w:rsidTr="004C306A">
        <w:trPr>
          <w:trHeight w:val="54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F502A04" w14:textId="77777777" w:rsidR="005F16C5" w:rsidRPr="00B852EF" w:rsidRDefault="005F16C5" w:rsidP="004C306A">
            <w:pPr>
              <w:rPr>
                <w:sz w:val="20"/>
                <w:szCs w:val="20"/>
              </w:rPr>
            </w:pPr>
            <w:r w:rsidRPr="00B852EF">
              <w:rPr>
                <w:sz w:val="20"/>
                <w:szCs w:val="20"/>
              </w:rPr>
              <w:t xml:space="preserve">Vrijednosno usklađenje imovine </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14:paraId="5168B764" w14:textId="77777777" w:rsidR="005F16C5" w:rsidRPr="00B852EF" w:rsidRDefault="005F16C5" w:rsidP="004C306A">
            <w:pPr>
              <w:jc w:val="right"/>
              <w:rPr>
                <w:sz w:val="20"/>
                <w:szCs w:val="20"/>
              </w:rPr>
            </w:pPr>
            <w:r w:rsidRPr="00B852EF">
              <w:rPr>
                <w:sz w:val="20"/>
                <w:szCs w:val="20"/>
              </w:rPr>
              <w:t>15.491.988,57</w:t>
            </w:r>
          </w:p>
        </w:tc>
        <w:tc>
          <w:tcPr>
            <w:tcW w:w="1842" w:type="dxa"/>
            <w:tcBorders>
              <w:top w:val="nil"/>
              <w:left w:val="nil"/>
              <w:bottom w:val="single" w:sz="4" w:space="0" w:color="auto"/>
              <w:right w:val="single" w:sz="8" w:space="0" w:color="auto"/>
            </w:tcBorders>
            <w:shd w:val="clear" w:color="auto" w:fill="auto"/>
            <w:vAlign w:val="center"/>
            <w:hideMark/>
          </w:tcPr>
          <w:p w14:paraId="395057C3"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single" w:sz="4" w:space="0" w:color="auto"/>
              <w:left w:val="nil"/>
              <w:bottom w:val="single" w:sz="4" w:space="0" w:color="auto"/>
              <w:right w:val="single" w:sz="8" w:space="0" w:color="auto"/>
            </w:tcBorders>
            <w:shd w:val="clear" w:color="auto" w:fill="auto"/>
            <w:vAlign w:val="center"/>
            <w:hideMark/>
          </w:tcPr>
          <w:p w14:paraId="5A43A4E9" w14:textId="77777777" w:rsidR="005F16C5" w:rsidRPr="00B852EF" w:rsidRDefault="005F16C5" w:rsidP="004C306A">
            <w:pPr>
              <w:jc w:val="center"/>
              <w:rPr>
                <w:sz w:val="20"/>
                <w:szCs w:val="20"/>
              </w:rPr>
            </w:pPr>
            <w:r w:rsidRPr="00B852EF">
              <w:rPr>
                <w:sz w:val="20"/>
                <w:szCs w:val="20"/>
              </w:rPr>
              <w:t>016</w:t>
            </w:r>
          </w:p>
        </w:tc>
      </w:tr>
      <w:tr w:rsidR="005F16C5" w:rsidRPr="00B852EF" w14:paraId="1C768C2B" w14:textId="77777777" w:rsidTr="004C306A">
        <w:trPr>
          <w:trHeight w:val="54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0D4FB49" w14:textId="77777777" w:rsidR="005F16C5" w:rsidRPr="00B852EF" w:rsidRDefault="005F16C5" w:rsidP="004C306A">
            <w:pPr>
              <w:rPr>
                <w:sz w:val="20"/>
                <w:szCs w:val="20"/>
              </w:rPr>
            </w:pPr>
            <w:r w:rsidRPr="00B852EF">
              <w:rPr>
                <w:sz w:val="20"/>
                <w:szCs w:val="20"/>
              </w:rPr>
              <w:t xml:space="preserve">Vrijednosno usklađenje imovine </w:t>
            </w:r>
          </w:p>
        </w:tc>
        <w:tc>
          <w:tcPr>
            <w:tcW w:w="1843" w:type="dxa"/>
            <w:tcBorders>
              <w:top w:val="nil"/>
              <w:left w:val="nil"/>
              <w:bottom w:val="single" w:sz="4" w:space="0" w:color="auto"/>
              <w:right w:val="single" w:sz="8" w:space="0" w:color="auto"/>
            </w:tcBorders>
            <w:shd w:val="clear" w:color="auto" w:fill="auto"/>
            <w:noWrap/>
            <w:vAlign w:val="center"/>
            <w:hideMark/>
          </w:tcPr>
          <w:p w14:paraId="45B8E846" w14:textId="77777777" w:rsidR="005F16C5" w:rsidRPr="00B852EF" w:rsidRDefault="005F16C5" w:rsidP="004C306A">
            <w:pPr>
              <w:jc w:val="right"/>
              <w:rPr>
                <w:sz w:val="20"/>
                <w:szCs w:val="20"/>
              </w:rPr>
            </w:pPr>
            <w:r w:rsidRPr="00B852EF">
              <w:rPr>
                <w:sz w:val="20"/>
                <w:szCs w:val="20"/>
              </w:rPr>
              <w:t>-27.946,46</w:t>
            </w:r>
          </w:p>
        </w:tc>
        <w:tc>
          <w:tcPr>
            <w:tcW w:w="1842" w:type="dxa"/>
            <w:tcBorders>
              <w:top w:val="nil"/>
              <w:left w:val="nil"/>
              <w:bottom w:val="single" w:sz="4" w:space="0" w:color="auto"/>
              <w:right w:val="single" w:sz="8" w:space="0" w:color="auto"/>
            </w:tcBorders>
            <w:shd w:val="clear" w:color="auto" w:fill="auto"/>
            <w:vAlign w:val="center"/>
            <w:hideMark/>
          </w:tcPr>
          <w:p w14:paraId="61B3AD94"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4516F309" w14:textId="77777777" w:rsidR="005F16C5" w:rsidRPr="00B852EF" w:rsidRDefault="005F16C5" w:rsidP="004C306A">
            <w:pPr>
              <w:jc w:val="center"/>
              <w:rPr>
                <w:sz w:val="20"/>
                <w:szCs w:val="20"/>
              </w:rPr>
            </w:pPr>
            <w:r w:rsidRPr="00B852EF">
              <w:rPr>
                <w:sz w:val="20"/>
                <w:szCs w:val="20"/>
              </w:rPr>
              <w:t>016</w:t>
            </w:r>
          </w:p>
        </w:tc>
      </w:tr>
      <w:tr w:rsidR="005F16C5" w:rsidRPr="00B852EF" w14:paraId="7C048D60" w14:textId="77777777" w:rsidTr="004C306A">
        <w:trPr>
          <w:trHeight w:val="54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0AEC16AE" w14:textId="77777777" w:rsidR="005F16C5" w:rsidRPr="00B852EF" w:rsidRDefault="005F16C5" w:rsidP="004C306A">
            <w:pPr>
              <w:rPr>
                <w:sz w:val="20"/>
                <w:szCs w:val="20"/>
              </w:rPr>
            </w:pPr>
            <w:r w:rsidRPr="00B852EF">
              <w:rPr>
                <w:sz w:val="20"/>
                <w:szCs w:val="20"/>
              </w:rPr>
              <w:t xml:space="preserve">Vrijednosno usklađenje imovine </w:t>
            </w:r>
          </w:p>
        </w:tc>
        <w:tc>
          <w:tcPr>
            <w:tcW w:w="1843" w:type="dxa"/>
            <w:tcBorders>
              <w:top w:val="nil"/>
              <w:left w:val="nil"/>
              <w:bottom w:val="single" w:sz="4" w:space="0" w:color="auto"/>
              <w:right w:val="single" w:sz="8" w:space="0" w:color="auto"/>
            </w:tcBorders>
            <w:shd w:val="clear" w:color="auto" w:fill="auto"/>
            <w:noWrap/>
            <w:vAlign w:val="center"/>
            <w:hideMark/>
          </w:tcPr>
          <w:p w14:paraId="1E2EC883" w14:textId="77777777" w:rsidR="005F16C5" w:rsidRPr="00B852EF" w:rsidRDefault="005F16C5" w:rsidP="004C306A">
            <w:pPr>
              <w:jc w:val="right"/>
              <w:rPr>
                <w:sz w:val="20"/>
                <w:szCs w:val="20"/>
              </w:rPr>
            </w:pPr>
            <w:r w:rsidRPr="00B852EF">
              <w:rPr>
                <w:sz w:val="20"/>
                <w:szCs w:val="20"/>
              </w:rPr>
              <w:t>-930.822,68</w:t>
            </w:r>
          </w:p>
        </w:tc>
        <w:tc>
          <w:tcPr>
            <w:tcW w:w="1842" w:type="dxa"/>
            <w:tcBorders>
              <w:top w:val="nil"/>
              <w:left w:val="nil"/>
              <w:bottom w:val="single" w:sz="4" w:space="0" w:color="auto"/>
              <w:right w:val="single" w:sz="8" w:space="0" w:color="auto"/>
            </w:tcBorders>
            <w:shd w:val="clear" w:color="auto" w:fill="auto"/>
            <w:vAlign w:val="center"/>
            <w:hideMark/>
          </w:tcPr>
          <w:p w14:paraId="03CEFF05"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371A037C" w14:textId="77777777" w:rsidR="005F16C5" w:rsidRPr="00B852EF" w:rsidRDefault="005F16C5" w:rsidP="004C306A">
            <w:pPr>
              <w:jc w:val="center"/>
              <w:rPr>
                <w:sz w:val="20"/>
                <w:szCs w:val="20"/>
              </w:rPr>
            </w:pPr>
            <w:r w:rsidRPr="00B852EF">
              <w:rPr>
                <w:sz w:val="20"/>
                <w:szCs w:val="20"/>
              </w:rPr>
              <w:t>016</w:t>
            </w:r>
          </w:p>
        </w:tc>
      </w:tr>
      <w:tr w:rsidR="005F16C5" w:rsidRPr="00B852EF" w14:paraId="71B91EF2" w14:textId="77777777" w:rsidTr="004C306A">
        <w:trPr>
          <w:trHeight w:val="54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55B09A34" w14:textId="77777777" w:rsidR="005F16C5" w:rsidRPr="00B852EF" w:rsidRDefault="005F16C5" w:rsidP="004C306A">
            <w:pPr>
              <w:rPr>
                <w:sz w:val="20"/>
                <w:szCs w:val="20"/>
              </w:rPr>
            </w:pPr>
            <w:r w:rsidRPr="00B852EF">
              <w:rPr>
                <w:sz w:val="20"/>
                <w:szCs w:val="20"/>
              </w:rPr>
              <w:lastRenderedPageBreak/>
              <w:t xml:space="preserve">Vrijednosno usklađenje imovine </w:t>
            </w:r>
          </w:p>
        </w:tc>
        <w:tc>
          <w:tcPr>
            <w:tcW w:w="1843" w:type="dxa"/>
            <w:tcBorders>
              <w:top w:val="nil"/>
              <w:left w:val="nil"/>
              <w:bottom w:val="single" w:sz="4" w:space="0" w:color="auto"/>
              <w:right w:val="single" w:sz="8" w:space="0" w:color="auto"/>
            </w:tcBorders>
            <w:shd w:val="clear" w:color="auto" w:fill="auto"/>
            <w:noWrap/>
            <w:vAlign w:val="center"/>
            <w:hideMark/>
          </w:tcPr>
          <w:p w14:paraId="7318A051" w14:textId="77777777" w:rsidR="005F16C5" w:rsidRPr="00B852EF" w:rsidRDefault="005F16C5" w:rsidP="004C306A">
            <w:pPr>
              <w:jc w:val="right"/>
              <w:rPr>
                <w:sz w:val="20"/>
                <w:szCs w:val="20"/>
              </w:rPr>
            </w:pPr>
            <w:r w:rsidRPr="00B852EF">
              <w:rPr>
                <w:sz w:val="20"/>
                <w:szCs w:val="20"/>
              </w:rPr>
              <w:t>7.470,88</w:t>
            </w:r>
          </w:p>
        </w:tc>
        <w:tc>
          <w:tcPr>
            <w:tcW w:w="1842" w:type="dxa"/>
            <w:tcBorders>
              <w:top w:val="nil"/>
              <w:left w:val="nil"/>
              <w:bottom w:val="single" w:sz="4" w:space="0" w:color="auto"/>
              <w:right w:val="single" w:sz="8" w:space="0" w:color="auto"/>
            </w:tcBorders>
            <w:shd w:val="clear" w:color="auto" w:fill="auto"/>
            <w:vAlign w:val="center"/>
            <w:hideMark/>
          </w:tcPr>
          <w:p w14:paraId="12CB450E"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imovine</w:t>
            </w:r>
          </w:p>
        </w:tc>
        <w:tc>
          <w:tcPr>
            <w:tcW w:w="851" w:type="dxa"/>
            <w:tcBorders>
              <w:top w:val="nil"/>
              <w:left w:val="nil"/>
              <w:bottom w:val="single" w:sz="4" w:space="0" w:color="auto"/>
              <w:right w:val="single" w:sz="8" w:space="0" w:color="auto"/>
            </w:tcBorders>
            <w:shd w:val="clear" w:color="auto" w:fill="auto"/>
            <w:vAlign w:val="center"/>
            <w:hideMark/>
          </w:tcPr>
          <w:p w14:paraId="1B24E6DB" w14:textId="77777777" w:rsidR="005F16C5" w:rsidRPr="00B852EF" w:rsidRDefault="005F16C5" w:rsidP="004C306A">
            <w:pPr>
              <w:jc w:val="center"/>
              <w:rPr>
                <w:sz w:val="20"/>
                <w:szCs w:val="20"/>
              </w:rPr>
            </w:pPr>
            <w:r w:rsidRPr="00B852EF">
              <w:rPr>
                <w:sz w:val="20"/>
                <w:szCs w:val="20"/>
              </w:rPr>
              <w:t>016</w:t>
            </w:r>
          </w:p>
        </w:tc>
      </w:tr>
    </w:tbl>
    <w:p w14:paraId="65E51D60" w14:textId="77777777" w:rsidR="005F16C5" w:rsidRPr="00B852EF" w:rsidRDefault="005F16C5" w:rsidP="005F16C5">
      <w:pPr>
        <w:rPr>
          <w:sz w:val="28"/>
          <w:szCs w:val="28"/>
        </w:rPr>
      </w:pPr>
    </w:p>
    <w:p w14:paraId="21A4E8A2" w14:textId="77777777" w:rsidR="005F16C5" w:rsidRPr="00B852EF" w:rsidRDefault="005F16C5" w:rsidP="005F16C5">
      <w:pPr>
        <w:rPr>
          <w:sz w:val="28"/>
          <w:szCs w:val="28"/>
        </w:rPr>
      </w:pPr>
    </w:p>
    <w:p w14:paraId="4E7D52E3" w14:textId="77777777" w:rsidR="005F16C5" w:rsidRPr="00B852EF" w:rsidRDefault="005F16C5" w:rsidP="005F16C5">
      <w:pPr>
        <w:jc w:val="center"/>
        <w:rPr>
          <w:sz w:val="28"/>
          <w:szCs w:val="28"/>
        </w:rPr>
      </w:pPr>
      <w:r w:rsidRPr="00B852EF">
        <w:rPr>
          <w:sz w:val="28"/>
          <w:szCs w:val="28"/>
        </w:rPr>
        <w:t>AOP 035 Promjene u vrijednosti (revalorizacija) obveza</w:t>
      </w:r>
    </w:p>
    <w:tbl>
      <w:tblPr>
        <w:tblW w:w="9346" w:type="dxa"/>
        <w:tblLook w:val="04A0" w:firstRow="1" w:lastRow="0" w:firstColumn="1" w:lastColumn="0" w:noHBand="0" w:noVBand="1"/>
      </w:tblPr>
      <w:tblGrid>
        <w:gridCol w:w="4810"/>
        <w:gridCol w:w="1843"/>
        <w:gridCol w:w="1828"/>
        <w:gridCol w:w="865"/>
      </w:tblGrid>
      <w:tr w:rsidR="005F16C5" w:rsidRPr="00B852EF" w14:paraId="6D67CF17" w14:textId="77777777" w:rsidTr="004C306A">
        <w:trPr>
          <w:trHeight w:val="645"/>
        </w:trPr>
        <w:tc>
          <w:tcPr>
            <w:tcW w:w="4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E1A59B" w14:textId="77777777" w:rsidR="005F16C5" w:rsidRPr="00B852EF" w:rsidRDefault="005F16C5" w:rsidP="004C306A">
            <w:pPr>
              <w:jc w:val="center"/>
              <w:rPr>
                <w:b/>
                <w:bCs/>
              </w:rPr>
            </w:pPr>
            <w:r w:rsidRPr="00B852EF">
              <w:rPr>
                <w:b/>
                <w:bCs/>
              </w:rPr>
              <w:t>Opis knjiženja</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439B0EAA" w14:textId="77777777" w:rsidR="005F16C5" w:rsidRPr="00B852EF" w:rsidRDefault="005F16C5" w:rsidP="004C306A">
            <w:pPr>
              <w:jc w:val="center"/>
              <w:rPr>
                <w:b/>
                <w:bCs/>
              </w:rPr>
            </w:pPr>
            <w:r w:rsidRPr="00B852EF">
              <w:rPr>
                <w:b/>
                <w:bCs/>
              </w:rPr>
              <w:t>Iznos</w:t>
            </w:r>
          </w:p>
        </w:tc>
        <w:tc>
          <w:tcPr>
            <w:tcW w:w="1828" w:type="dxa"/>
            <w:tcBorders>
              <w:top w:val="single" w:sz="8" w:space="0" w:color="auto"/>
              <w:left w:val="nil"/>
              <w:bottom w:val="single" w:sz="8" w:space="0" w:color="auto"/>
              <w:right w:val="single" w:sz="8" w:space="0" w:color="auto"/>
            </w:tcBorders>
            <w:shd w:val="clear" w:color="auto" w:fill="auto"/>
            <w:vAlign w:val="center"/>
            <w:hideMark/>
          </w:tcPr>
          <w:p w14:paraId="2E8E640E" w14:textId="77777777" w:rsidR="005F16C5" w:rsidRPr="00B852EF" w:rsidRDefault="005F16C5" w:rsidP="004C306A">
            <w:pPr>
              <w:jc w:val="center"/>
              <w:rPr>
                <w:b/>
                <w:bCs/>
              </w:rPr>
            </w:pPr>
            <w:r w:rsidRPr="00B852EF">
              <w:rPr>
                <w:b/>
                <w:bCs/>
              </w:rPr>
              <w:t>smanjenje/ povećanje</w:t>
            </w:r>
          </w:p>
        </w:tc>
        <w:tc>
          <w:tcPr>
            <w:tcW w:w="865" w:type="dxa"/>
            <w:tcBorders>
              <w:top w:val="single" w:sz="8" w:space="0" w:color="auto"/>
              <w:left w:val="nil"/>
              <w:bottom w:val="single" w:sz="8" w:space="0" w:color="auto"/>
              <w:right w:val="single" w:sz="8" w:space="0" w:color="auto"/>
            </w:tcBorders>
            <w:shd w:val="clear" w:color="auto" w:fill="auto"/>
            <w:vAlign w:val="center"/>
            <w:hideMark/>
          </w:tcPr>
          <w:p w14:paraId="27A12DD3" w14:textId="77777777" w:rsidR="005F16C5" w:rsidRPr="00B852EF" w:rsidRDefault="005F16C5" w:rsidP="004C306A">
            <w:pPr>
              <w:jc w:val="center"/>
              <w:rPr>
                <w:b/>
                <w:bCs/>
              </w:rPr>
            </w:pPr>
            <w:r w:rsidRPr="00B852EF">
              <w:rPr>
                <w:b/>
                <w:bCs/>
              </w:rPr>
              <w:t>AOP</w:t>
            </w:r>
          </w:p>
        </w:tc>
      </w:tr>
      <w:tr w:rsidR="005F16C5" w:rsidRPr="00B852EF" w14:paraId="3FC5B20E"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280A495" w14:textId="77777777" w:rsidR="005F16C5" w:rsidRPr="00B852EF" w:rsidRDefault="005F16C5" w:rsidP="004C306A">
            <w:pPr>
              <w:rPr>
                <w:sz w:val="20"/>
                <w:szCs w:val="20"/>
              </w:rPr>
            </w:pPr>
            <w:r w:rsidRPr="00B852EF">
              <w:rPr>
                <w:sz w:val="20"/>
                <w:szCs w:val="20"/>
              </w:rPr>
              <w:t>Vrijednosno usklađenje obveza - obveze za obveznice - tuzemne</w:t>
            </w:r>
          </w:p>
        </w:tc>
        <w:tc>
          <w:tcPr>
            <w:tcW w:w="1843" w:type="dxa"/>
            <w:tcBorders>
              <w:top w:val="nil"/>
              <w:left w:val="nil"/>
              <w:bottom w:val="single" w:sz="4" w:space="0" w:color="auto"/>
              <w:right w:val="single" w:sz="8" w:space="0" w:color="auto"/>
            </w:tcBorders>
            <w:shd w:val="clear" w:color="auto" w:fill="auto"/>
            <w:noWrap/>
            <w:vAlign w:val="center"/>
            <w:hideMark/>
          </w:tcPr>
          <w:p w14:paraId="5C36D273" w14:textId="77777777" w:rsidR="005F16C5" w:rsidRPr="00B852EF" w:rsidRDefault="005F16C5" w:rsidP="004C306A">
            <w:pPr>
              <w:jc w:val="right"/>
              <w:rPr>
                <w:sz w:val="20"/>
                <w:szCs w:val="20"/>
              </w:rPr>
            </w:pPr>
            <w:r w:rsidRPr="00B852EF">
              <w:rPr>
                <w:sz w:val="20"/>
                <w:szCs w:val="20"/>
              </w:rPr>
              <w:t>101.510.850,00</w:t>
            </w:r>
          </w:p>
        </w:tc>
        <w:tc>
          <w:tcPr>
            <w:tcW w:w="1828" w:type="dxa"/>
            <w:tcBorders>
              <w:top w:val="nil"/>
              <w:left w:val="nil"/>
              <w:bottom w:val="single" w:sz="4" w:space="0" w:color="auto"/>
              <w:right w:val="single" w:sz="8" w:space="0" w:color="auto"/>
            </w:tcBorders>
            <w:shd w:val="clear" w:color="auto" w:fill="auto"/>
            <w:vAlign w:val="center"/>
            <w:hideMark/>
          </w:tcPr>
          <w:p w14:paraId="3E347C50"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7E91F089" w14:textId="77777777" w:rsidR="005F16C5" w:rsidRPr="00B852EF" w:rsidRDefault="005F16C5" w:rsidP="004C306A">
            <w:pPr>
              <w:jc w:val="center"/>
              <w:rPr>
                <w:sz w:val="20"/>
                <w:szCs w:val="20"/>
              </w:rPr>
            </w:pPr>
            <w:r w:rsidRPr="00B852EF">
              <w:rPr>
                <w:sz w:val="20"/>
                <w:szCs w:val="20"/>
              </w:rPr>
              <w:t>038</w:t>
            </w:r>
          </w:p>
        </w:tc>
      </w:tr>
      <w:tr w:rsidR="005F16C5" w:rsidRPr="00B852EF" w14:paraId="07345CCA"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1E4C8759" w14:textId="77777777" w:rsidR="005F16C5" w:rsidRPr="00B852EF" w:rsidRDefault="005F16C5" w:rsidP="004C306A">
            <w:pPr>
              <w:rPr>
                <w:sz w:val="20"/>
                <w:szCs w:val="20"/>
              </w:rPr>
            </w:pPr>
            <w:r w:rsidRPr="00B852EF">
              <w:rPr>
                <w:sz w:val="20"/>
                <w:szCs w:val="20"/>
              </w:rPr>
              <w:t>Vrijednosno usklađenje obveza - obveze za obveznice - inozemne</w:t>
            </w:r>
          </w:p>
        </w:tc>
        <w:tc>
          <w:tcPr>
            <w:tcW w:w="1843" w:type="dxa"/>
            <w:tcBorders>
              <w:top w:val="nil"/>
              <w:left w:val="nil"/>
              <w:bottom w:val="single" w:sz="4" w:space="0" w:color="auto"/>
              <w:right w:val="single" w:sz="8" w:space="0" w:color="auto"/>
            </w:tcBorders>
            <w:shd w:val="clear" w:color="auto" w:fill="auto"/>
            <w:noWrap/>
            <w:vAlign w:val="center"/>
            <w:hideMark/>
          </w:tcPr>
          <w:p w14:paraId="78F12703" w14:textId="77777777" w:rsidR="005F16C5" w:rsidRPr="00B852EF" w:rsidRDefault="005F16C5" w:rsidP="004C306A">
            <w:pPr>
              <w:jc w:val="right"/>
              <w:rPr>
                <w:sz w:val="20"/>
                <w:szCs w:val="20"/>
              </w:rPr>
            </w:pPr>
            <w:r w:rsidRPr="00B852EF">
              <w:rPr>
                <w:sz w:val="20"/>
                <w:szCs w:val="20"/>
              </w:rPr>
              <w:t>311.229.569,46</w:t>
            </w:r>
          </w:p>
        </w:tc>
        <w:tc>
          <w:tcPr>
            <w:tcW w:w="1828" w:type="dxa"/>
            <w:tcBorders>
              <w:top w:val="nil"/>
              <w:left w:val="nil"/>
              <w:bottom w:val="single" w:sz="4" w:space="0" w:color="auto"/>
              <w:right w:val="single" w:sz="8" w:space="0" w:color="auto"/>
            </w:tcBorders>
            <w:shd w:val="clear" w:color="auto" w:fill="auto"/>
            <w:vAlign w:val="center"/>
            <w:hideMark/>
          </w:tcPr>
          <w:p w14:paraId="56729B72"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05C239E9" w14:textId="77777777" w:rsidR="005F16C5" w:rsidRPr="00B852EF" w:rsidRDefault="005F16C5" w:rsidP="004C306A">
            <w:pPr>
              <w:jc w:val="center"/>
              <w:rPr>
                <w:sz w:val="20"/>
                <w:szCs w:val="20"/>
              </w:rPr>
            </w:pPr>
            <w:r w:rsidRPr="00B852EF">
              <w:rPr>
                <w:sz w:val="20"/>
                <w:szCs w:val="20"/>
              </w:rPr>
              <w:t>038</w:t>
            </w:r>
          </w:p>
        </w:tc>
      </w:tr>
      <w:tr w:rsidR="005F16C5" w:rsidRPr="00B852EF" w14:paraId="2BFE3791"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7ED86D3F" w14:textId="77777777" w:rsidR="005F16C5" w:rsidRPr="00B852EF" w:rsidRDefault="005F16C5" w:rsidP="004C306A">
            <w:pPr>
              <w:rPr>
                <w:sz w:val="20"/>
                <w:szCs w:val="20"/>
              </w:rPr>
            </w:pPr>
            <w:r w:rsidRPr="00B852EF">
              <w:rPr>
                <w:sz w:val="20"/>
                <w:szCs w:val="20"/>
              </w:rPr>
              <w:t>Vrijednosno usklađenje obveza - obveze za zajmove od međunarodnih organizacija - dug</w:t>
            </w:r>
          </w:p>
        </w:tc>
        <w:tc>
          <w:tcPr>
            <w:tcW w:w="1843" w:type="dxa"/>
            <w:tcBorders>
              <w:top w:val="nil"/>
              <w:left w:val="nil"/>
              <w:bottom w:val="single" w:sz="4" w:space="0" w:color="auto"/>
              <w:right w:val="single" w:sz="8" w:space="0" w:color="auto"/>
            </w:tcBorders>
            <w:shd w:val="clear" w:color="auto" w:fill="auto"/>
            <w:noWrap/>
            <w:vAlign w:val="center"/>
            <w:hideMark/>
          </w:tcPr>
          <w:p w14:paraId="4FE40F1C" w14:textId="77777777" w:rsidR="005F16C5" w:rsidRPr="00B852EF" w:rsidRDefault="005F16C5" w:rsidP="004C306A">
            <w:pPr>
              <w:jc w:val="right"/>
              <w:rPr>
                <w:sz w:val="20"/>
                <w:szCs w:val="20"/>
              </w:rPr>
            </w:pPr>
            <w:r w:rsidRPr="00B852EF">
              <w:rPr>
                <w:sz w:val="20"/>
                <w:szCs w:val="20"/>
              </w:rPr>
              <w:t>25.670.891,23</w:t>
            </w:r>
          </w:p>
        </w:tc>
        <w:tc>
          <w:tcPr>
            <w:tcW w:w="1828" w:type="dxa"/>
            <w:tcBorders>
              <w:top w:val="nil"/>
              <w:left w:val="nil"/>
              <w:bottom w:val="single" w:sz="4" w:space="0" w:color="auto"/>
              <w:right w:val="single" w:sz="8" w:space="0" w:color="auto"/>
            </w:tcBorders>
            <w:shd w:val="clear" w:color="auto" w:fill="auto"/>
            <w:vAlign w:val="center"/>
            <w:hideMark/>
          </w:tcPr>
          <w:p w14:paraId="7B247D82"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41EFEA59" w14:textId="77777777" w:rsidR="005F16C5" w:rsidRPr="00B852EF" w:rsidRDefault="005F16C5" w:rsidP="004C306A">
            <w:pPr>
              <w:jc w:val="center"/>
              <w:rPr>
                <w:sz w:val="20"/>
                <w:szCs w:val="20"/>
              </w:rPr>
            </w:pPr>
            <w:r w:rsidRPr="00B852EF">
              <w:rPr>
                <w:sz w:val="20"/>
                <w:szCs w:val="20"/>
              </w:rPr>
              <w:t>039</w:t>
            </w:r>
          </w:p>
        </w:tc>
      </w:tr>
      <w:tr w:rsidR="005F16C5" w:rsidRPr="00B852EF" w14:paraId="67338900"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52A68A58" w14:textId="77777777" w:rsidR="005F16C5" w:rsidRPr="00B852EF" w:rsidRDefault="005F16C5" w:rsidP="004C306A">
            <w:pPr>
              <w:rPr>
                <w:sz w:val="20"/>
                <w:szCs w:val="20"/>
              </w:rPr>
            </w:pPr>
            <w:r w:rsidRPr="00B852EF">
              <w:rPr>
                <w:sz w:val="20"/>
                <w:szCs w:val="20"/>
              </w:rPr>
              <w:t>Vrijednosno usklađenje obveza - obveze za zajmove od inozemnih vlada u EU - dug</w:t>
            </w:r>
          </w:p>
        </w:tc>
        <w:tc>
          <w:tcPr>
            <w:tcW w:w="1843" w:type="dxa"/>
            <w:tcBorders>
              <w:top w:val="nil"/>
              <w:left w:val="nil"/>
              <w:bottom w:val="single" w:sz="4" w:space="0" w:color="auto"/>
              <w:right w:val="single" w:sz="8" w:space="0" w:color="auto"/>
            </w:tcBorders>
            <w:shd w:val="clear" w:color="auto" w:fill="auto"/>
            <w:noWrap/>
            <w:vAlign w:val="center"/>
            <w:hideMark/>
          </w:tcPr>
          <w:p w14:paraId="5A16358C" w14:textId="77777777" w:rsidR="005F16C5" w:rsidRPr="00B852EF" w:rsidRDefault="005F16C5" w:rsidP="004C306A">
            <w:pPr>
              <w:jc w:val="right"/>
              <w:rPr>
                <w:sz w:val="20"/>
                <w:szCs w:val="20"/>
              </w:rPr>
            </w:pPr>
            <w:r w:rsidRPr="00B852EF">
              <w:rPr>
                <w:sz w:val="20"/>
                <w:szCs w:val="20"/>
              </w:rPr>
              <w:t>5.133,16</w:t>
            </w:r>
          </w:p>
        </w:tc>
        <w:tc>
          <w:tcPr>
            <w:tcW w:w="1828" w:type="dxa"/>
            <w:tcBorders>
              <w:top w:val="nil"/>
              <w:left w:val="nil"/>
              <w:bottom w:val="single" w:sz="4" w:space="0" w:color="auto"/>
              <w:right w:val="single" w:sz="8" w:space="0" w:color="auto"/>
            </w:tcBorders>
            <w:shd w:val="clear" w:color="auto" w:fill="auto"/>
            <w:vAlign w:val="center"/>
            <w:hideMark/>
          </w:tcPr>
          <w:p w14:paraId="21112510"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29C78B30" w14:textId="77777777" w:rsidR="005F16C5" w:rsidRPr="00B852EF" w:rsidRDefault="005F16C5" w:rsidP="004C306A">
            <w:pPr>
              <w:jc w:val="center"/>
              <w:rPr>
                <w:sz w:val="20"/>
                <w:szCs w:val="20"/>
              </w:rPr>
            </w:pPr>
            <w:r w:rsidRPr="00B852EF">
              <w:rPr>
                <w:sz w:val="20"/>
                <w:szCs w:val="20"/>
              </w:rPr>
              <w:t>039</w:t>
            </w:r>
          </w:p>
        </w:tc>
      </w:tr>
      <w:tr w:rsidR="005F16C5" w:rsidRPr="00B852EF" w14:paraId="7616AB53"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3F1BB9AA" w14:textId="77777777" w:rsidR="005F16C5" w:rsidRPr="00B852EF" w:rsidRDefault="005F16C5" w:rsidP="004C306A">
            <w:pPr>
              <w:rPr>
                <w:sz w:val="20"/>
                <w:szCs w:val="20"/>
              </w:rPr>
            </w:pPr>
            <w:r w:rsidRPr="00B852EF">
              <w:rPr>
                <w:sz w:val="20"/>
                <w:szCs w:val="20"/>
              </w:rPr>
              <w:t>Vrijednosno usklađenje obveza - obveze za kredite od kreditnih institucija u JS - dug</w:t>
            </w:r>
          </w:p>
        </w:tc>
        <w:tc>
          <w:tcPr>
            <w:tcW w:w="1843" w:type="dxa"/>
            <w:tcBorders>
              <w:top w:val="nil"/>
              <w:left w:val="nil"/>
              <w:bottom w:val="single" w:sz="4" w:space="0" w:color="auto"/>
              <w:right w:val="single" w:sz="8" w:space="0" w:color="auto"/>
            </w:tcBorders>
            <w:shd w:val="clear" w:color="auto" w:fill="auto"/>
            <w:noWrap/>
            <w:vAlign w:val="center"/>
            <w:hideMark/>
          </w:tcPr>
          <w:p w14:paraId="25AE817B" w14:textId="77777777" w:rsidR="005F16C5" w:rsidRPr="00B852EF" w:rsidRDefault="005F16C5" w:rsidP="004C306A">
            <w:pPr>
              <w:jc w:val="right"/>
              <w:rPr>
                <w:sz w:val="20"/>
                <w:szCs w:val="20"/>
              </w:rPr>
            </w:pPr>
            <w:r w:rsidRPr="00B852EF">
              <w:rPr>
                <w:sz w:val="20"/>
                <w:szCs w:val="20"/>
              </w:rPr>
              <w:t>1.259.451,96</w:t>
            </w:r>
          </w:p>
        </w:tc>
        <w:tc>
          <w:tcPr>
            <w:tcW w:w="1828" w:type="dxa"/>
            <w:tcBorders>
              <w:top w:val="nil"/>
              <w:left w:val="nil"/>
              <w:bottom w:val="single" w:sz="4" w:space="0" w:color="auto"/>
              <w:right w:val="single" w:sz="8" w:space="0" w:color="auto"/>
            </w:tcBorders>
            <w:shd w:val="clear" w:color="auto" w:fill="auto"/>
            <w:vAlign w:val="center"/>
            <w:hideMark/>
          </w:tcPr>
          <w:p w14:paraId="32AA138A"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41BC7664" w14:textId="77777777" w:rsidR="005F16C5" w:rsidRPr="00B852EF" w:rsidRDefault="005F16C5" w:rsidP="004C306A">
            <w:pPr>
              <w:jc w:val="center"/>
              <w:rPr>
                <w:sz w:val="20"/>
                <w:szCs w:val="20"/>
              </w:rPr>
            </w:pPr>
            <w:r w:rsidRPr="00B852EF">
              <w:rPr>
                <w:sz w:val="20"/>
                <w:szCs w:val="20"/>
              </w:rPr>
              <w:t>039</w:t>
            </w:r>
          </w:p>
        </w:tc>
      </w:tr>
      <w:tr w:rsidR="005F16C5" w:rsidRPr="00B852EF" w14:paraId="5DC77DDA"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5EB7768D" w14:textId="77777777" w:rsidR="005F16C5" w:rsidRPr="00B852EF" w:rsidRDefault="005F16C5" w:rsidP="004C306A">
            <w:pPr>
              <w:rPr>
                <w:sz w:val="20"/>
                <w:szCs w:val="20"/>
              </w:rPr>
            </w:pPr>
            <w:r w:rsidRPr="00B852EF">
              <w:rPr>
                <w:sz w:val="20"/>
                <w:szCs w:val="20"/>
              </w:rPr>
              <w:t xml:space="preserve">Vrijednosno usklađenje obveza - obveze za kredite od tuzemnih kreditnih </w:t>
            </w:r>
            <w:proofErr w:type="spellStart"/>
            <w:r w:rsidRPr="00B852EF">
              <w:rPr>
                <w:sz w:val="20"/>
                <w:szCs w:val="20"/>
              </w:rPr>
              <w:t>instit.izvan</w:t>
            </w:r>
            <w:proofErr w:type="spellEnd"/>
            <w:r w:rsidRPr="00B852EF">
              <w:rPr>
                <w:sz w:val="20"/>
                <w:szCs w:val="20"/>
              </w:rPr>
              <w:t xml:space="preserve"> JS - dug JS - dug</w:t>
            </w:r>
          </w:p>
        </w:tc>
        <w:tc>
          <w:tcPr>
            <w:tcW w:w="1843" w:type="dxa"/>
            <w:tcBorders>
              <w:top w:val="nil"/>
              <w:left w:val="nil"/>
              <w:bottom w:val="single" w:sz="4" w:space="0" w:color="auto"/>
              <w:right w:val="single" w:sz="8" w:space="0" w:color="auto"/>
            </w:tcBorders>
            <w:shd w:val="clear" w:color="auto" w:fill="auto"/>
            <w:noWrap/>
            <w:vAlign w:val="center"/>
            <w:hideMark/>
          </w:tcPr>
          <w:p w14:paraId="3F4BF28A" w14:textId="77777777" w:rsidR="005F16C5" w:rsidRPr="00B852EF" w:rsidRDefault="005F16C5" w:rsidP="004C306A">
            <w:pPr>
              <w:jc w:val="right"/>
              <w:rPr>
                <w:sz w:val="20"/>
                <w:szCs w:val="20"/>
              </w:rPr>
            </w:pPr>
            <w:r w:rsidRPr="00B852EF">
              <w:rPr>
                <w:sz w:val="20"/>
                <w:szCs w:val="20"/>
              </w:rPr>
              <w:t>12.425.007,08</w:t>
            </w:r>
          </w:p>
        </w:tc>
        <w:tc>
          <w:tcPr>
            <w:tcW w:w="1828" w:type="dxa"/>
            <w:tcBorders>
              <w:top w:val="nil"/>
              <w:left w:val="nil"/>
              <w:bottom w:val="single" w:sz="4" w:space="0" w:color="auto"/>
              <w:right w:val="single" w:sz="8" w:space="0" w:color="auto"/>
            </w:tcBorders>
            <w:shd w:val="clear" w:color="auto" w:fill="auto"/>
            <w:vAlign w:val="center"/>
            <w:hideMark/>
          </w:tcPr>
          <w:p w14:paraId="5FA46083"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40176D43" w14:textId="77777777" w:rsidR="005F16C5" w:rsidRPr="00B852EF" w:rsidRDefault="005F16C5" w:rsidP="004C306A">
            <w:pPr>
              <w:jc w:val="center"/>
              <w:rPr>
                <w:sz w:val="20"/>
                <w:szCs w:val="20"/>
              </w:rPr>
            </w:pPr>
            <w:r w:rsidRPr="00B852EF">
              <w:rPr>
                <w:sz w:val="20"/>
                <w:szCs w:val="20"/>
              </w:rPr>
              <w:t>039</w:t>
            </w:r>
          </w:p>
        </w:tc>
      </w:tr>
      <w:tr w:rsidR="005F16C5" w:rsidRPr="00B852EF" w14:paraId="7DD4FABF"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4933FE38" w14:textId="77777777" w:rsidR="005F16C5" w:rsidRPr="00B852EF" w:rsidRDefault="005F16C5" w:rsidP="004C306A">
            <w:pPr>
              <w:rPr>
                <w:sz w:val="20"/>
                <w:szCs w:val="20"/>
              </w:rPr>
            </w:pPr>
            <w:r w:rsidRPr="00B852EF">
              <w:rPr>
                <w:sz w:val="20"/>
                <w:szCs w:val="20"/>
              </w:rPr>
              <w:t>Vrijednosno usklađenje obveza - obveze za kredite od sveučilišta</w:t>
            </w:r>
          </w:p>
        </w:tc>
        <w:tc>
          <w:tcPr>
            <w:tcW w:w="1843" w:type="dxa"/>
            <w:tcBorders>
              <w:top w:val="nil"/>
              <w:left w:val="nil"/>
              <w:bottom w:val="single" w:sz="4" w:space="0" w:color="auto"/>
              <w:right w:val="single" w:sz="8" w:space="0" w:color="auto"/>
            </w:tcBorders>
            <w:shd w:val="clear" w:color="auto" w:fill="auto"/>
            <w:noWrap/>
            <w:vAlign w:val="center"/>
            <w:hideMark/>
          </w:tcPr>
          <w:p w14:paraId="6AAC8501" w14:textId="77777777" w:rsidR="005F16C5" w:rsidRPr="00B852EF" w:rsidRDefault="005F16C5" w:rsidP="004C306A">
            <w:pPr>
              <w:jc w:val="right"/>
              <w:rPr>
                <w:sz w:val="20"/>
                <w:szCs w:val="20"/>
              </w:rPr>
            </w:pPr>
            <w:r w:rsidRPr="00B852EF">
              <w:rPr>
                <w:sz w:val="20"/>
                <w:szCs w:val="20"/>
              </w:rPr>
              <w:t>6,27</w:t>
            </w:r>
          </w:p>
        </w:tc>
        <w:tc>
          <w:tcPr>
            <w:tcW w:w="1828" w:type="dxa"/>
            <w:tcBorders>
              <w:top w:val="nil"/>
              <w:left w:val="nil"/>
              <w:bottom w:val="single" w:sz="4" w:space="0" w:color="auto"/>
              <w:right w:val="single" w:sz="8" w:space="0" w:color="auto"/>
            </w:tcBorders>
            <w:shd w:val="clear" w:color="auto" w:fill="auto"/>
            <w:vAlign w:val="center"/>
            <w:hideMark/>
          </w:tcPr>
          <w:p w14:paraId="77776F52"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3BF69593" w14:textId="77777777" w:rsidR="005F16C5" w:rsidRPr="00B852EF" w:rsidRDefault="005F16C5" w:rsidP="004C306A">
            <w:pPr>
              <w:jc w:val="center"/>
              <w:rPr>
                <w:sz w:val="20"/>
                <w:szCs w:val="20"/>
              </w:rPr>
            </w:pPr>
            <w:r w:rsidRPr="00B852EF">
              <w:rPr>
                <w:sz w:val="20"/>
                <w:szCs w:val="20"/>
              </w:rPr>
              <w:t>039</w:t>
            </w:r>
          </w:p>
        </w:tc>
      </w:tr>
      <w:tr w:rsidR="005F16C5" w:rsidRPr="00B852EF" w14:paraId="3A45780E"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6EA46320" w14:textId="77777777" w:rsidR="005F16C5" w:rsidRPr="00B852EF" w:rsidRDefault="005F16C5" w:rsidP="004C306A">
            <w:pPr>
              <w:rPr>
                <w:sz w:val="20"/>
                <w:szCs w:val="20"/>
              </w:rPr>
            </w:pPr>
            <w:r w:rsidRPr="00B852EF">
              <w:rPr>
                <w:sz w:val="20"/>
                <w:szCs w:val="20"/>
              </w:rPr>
              <w:t>Vrijednosno usklađenje obveza - obveze za trezorske zapise - tuzemne</w:t>
            </w:r>
          </w:p>
        </w:tc>
        <w:tc>
          <w:tcPr>
            <w:tcW w:w="1843" w:type="dxa"/>
            <w:tcBorders>
              <w:top w:val="nil"/>
              <w:left w:val="nil"/>
              <w:bottom w:val="single" w:sz="4" w:space="0" w:color="auto"/>
              <w:right w:val="single" w:sz="8" w:space="0" w:color="auto"/>
            </w:tcBorders>
            <w:shd w:val="clear" w:color="auto" w:fill="auto"/>
            <w:noWrap/>
            <w:vAlign w:val="center"/>
            <w:hideMark/>
          </w:tcPr>
          <w:p w14:paraId="337BB8A3" w14:textId="77777777" w:rsidR="005F16C5" w:rsidRPr="00B852EF" w:rsidRDefault="005F16C5" w:rsidP="004C306A">
            <w:pPr>
              <w:jc w:val="right"/>
              <w:rPr>
                <w:sz w:val="20"/>
                <w:szCs w:val="20"/>
              </w:rPr>
            </w:pPr>
            <w:r w:rsidRPr="00B852EF">
              <w:rPr>
                <w:sz w:val="20"/>
                <w:szCs w:val="20"/>
              </w:rPr>
              <w:t>25.560.793,78</w:t>
            </w:r>
          </w:p>
        </w:tc>
        <w:tc>
          <w:tcPr>
            <w:tcW w:w="1828" w:type="dxa"/>
            <w:tcBorders>
              <w:top w:val="nil"/>
              <w:left w:val="nil"/>
              <w:bottom w:val="single" w:sz="4" w:space="0" w:color="auto"/>
              <w:right w:val="single" w:sz="8" w:space="0" w:color="auto"/>
            </w:tcBorders>
            <w:shd w:val="clear" w:color="auto" w:fill="auto"/>
            <w:vAlign w:val="center"/>
            <w:hideMark/>
          </w:tcPr>
          <w:p w14:paraId="2C67225A"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0B9DA812" w14:textId="77777777" w:rsidR="005F16C5" w:rsidRPr="00B852EF" w:rsidRDefault="005F16C5" w:rsidP="004C306A">
            <w:pPr>
              <w:jc w:val="center"/>
              <w:rPr>
                <w:sz w:val="20"/>
                <w:szCs w:val="20"/>
              </w:rPr>
            </w:pPr>
            <w:r w:rsidRPr="00B852EF">
              <w:rPr>
                <w:sz w:val="20"/>
                <w:szCs w:val="20"/>
              </w:rPr>
              <w:t>038</w:t>
            </w:r>
          </w:p>
        </w:tc>
      </w:tr>
      <w:tr w:rsidR="005F16C5" w:rsidRPr="00B852EF" w14:paraId="7CACC42B" w14:textId="77777777" w:rsidTr="004C306A">
        <w:trPr>
          <w:trHeight w:val="510"/>
        </w:trPr>
        <w:tc>
          <w:tcPr>
            <w:tcW w:w="4810" w:type="dxa"/>
            <w:tcBorders>
              <w:top w:val="nil"/>
              <w:left w:val="single" w:sz="8" w:space="0" w:color="auto"/>
              <w:bottom w:val="single" w:sz="4" w:space="0" w:color="auto"/>
              <w:right w:val="single" w:sz="8" w:space="0" w:color="auto"/>
            </w:tcBorders>
            <w:shd w:val="clear" w:color="auto" w:fill="auto"/>
            <w:vAlign w:val="center"/>
            <w:hideMark/>
          </w:tcPr>
          <w:p w14:paraId="161B8FCC" w14:textId="77777777" w:rsidR="005F16C5" w:rsidRPr="00B852EF" w:rsidRDefault="005F16C5" w:rsidP="004C306A">
            <w:pPr>
              <w:rPr>
                <w:sz w:val="20"/>
                <w:szCs w:val="20"/>
              </w:rPr>
            </w:pPr>
            <w:r w:rsidRPr="00B852EF">
              <w:rPr>
                <w:sz w:val="20"/>
                <w:szCs w:val="20"/>
              </w:rPr>
              <w:t>Vrijednosno usklađenje obveza - obveze za mjenice - članski kapital MIGA</w:t>
            </w:r>
          </w:p>
        </w:tc>
        <w:tc>
          <w:tcPr>
            <w:tcW w:w="1843" w:type="dxa"/>
            <w:tcBorders>
              <w:top w:val="nil"/>
              <w:left w:val="nil"/>
              <w:bottom w:val="single" w:sz="4" w:space="0" w:color="auto"/>
              <w:right w:val="single" w:sz="8" w:space="0" w:color="auto"/>
            </w:tcBorders>
            <w:shd w:val="clear" w:color="auto" w:fill="auto"/>
            <w:noWrap/>
            <w:vAlign w:val="center"/>
            <w:hideMark/>
          </w:tcPr>
          <w:p w14:paraId="3A684F5D" w14:textId="77777777" w:rsidR="005F16C5" w:rsidRPr="00B852EF" w:rsidRDefault="005F16C5" w:rsidP="004C306A">
            <w:pPr>
              <w:jc w:val="right"/>
              <w:rPr>
                <w:sz w:val="20"/>
                <w:szCs w:val="20"/>
              </w:rPr>
            </w:pPr>
            <w:r w:rsidRPr="00B852EF">
              <w:rPr>
                <w:sz w:val="20"/>
                <w:szCs w:val="20"/>
              </w:rPr>
              <w:t>-102.079,53</w:t>
            </w:r>
          </w:p>
        </w:tc>
        <w:tc>
          <w:tcPr>
            <w:tcW w:w="1828" w:type="dxa"/>
            <w:tcBorders>
              <w:top w:val="nil"/>
              <w:left w:val="nil"/>
              <w:bottom w:val="single" w:sz="4" w:space="0" w:color="auto"/>
              <w:right w:val="single" w:sz="8" w:space="0" w:color="auto"/>
            </w:tcBorders>
            <w:shd w:val="clear" w:color="auto" w:fill="auto"/>
            <w:vAlign w:val="center"/>
            <w:hideMark/>
          </w:tcPr>
          <w:p w14:paraId="4EB97CD9" w14:textId="77777777" w:rsidR="005F16C5" w:rsidRPr="00B852EF" w:rsidRDefault="005F16C5" w:rsidP="004C306A">
            <w:pPr>
              <w:jc w:val="center"/>
              <w:rPr>
                <w:sz w:val="20"/>
                <w:szCs w:val="20"/>
              </w:rPr>
            </w:pPr>
            <w:r w:rsidRPr="00B852EF">
              <w:rPr>
                <w:b/>
                <w:bCs/>
                <w:sz w:val="20"/>
                <w:szCs w:val="20"/>
              </w:rPr>
              <w:t>povećanje</w:t>
            </w:r>
            <w:r w:rsidRPr="00B852EF">
              <w:rPr>
                <w:sz w:val="20"/>
                <w:szCs w:val="20"/>
              </w:rPr>
              <w:t xml:space="preserve"> vrijednosti obveza</w:t>
            </w:r>
          </w:p>
        </w:tc>
        <w:tc>
          <w:tcPr>
            <w:tcW w:w="865" w:type="dxa"/>
            <w:tcBorders>
              <w:top w:val="nil"/>
              <w:left w:val="nil"/>
              <w:bottom w:val="single" w:sz="4" w:space="0" w:color="auto"/>
              <w:right w:val="single" w:sz="8" w:space="0" w:color="auto"/>
            </w:tcBorders>
            <w:shd w:val="clear" w:color="auto" w:fill="auto"/>
            <w:vAlign w:val="center"/>
            <w:hideMark/>
          </w:tcPr>
          <w:p w14:paraId="3CF77769" w14:textId="77777777" w:rsidR="005F16C5" w:rsidRPr="00B852EF" w:rsidRDefault="005F16C5" w:rsidP="004C306A">
            <w:pPr>
              <w:jc w:val="center"/>
              <w:rPr>
                <w:sz w:val="20"/>
                <w:szCs w:val="20"/>
              </w:rPr>
            </w:pPr>
            <w:r w:rsidRPr="00B852EF">
              <w:rPr>
                <w:sz w:val="20"/>
                <w:szCs w:val="20"/>
              </w:rPr>
              <w:t>038</w:t>
            </w:r>
          </w:p>
        </w:tc>
      </w:tr>
      <w:tr w:rsidR="005F16C5" w:rsidRPr="00B852EF" w14:paraId="611DDD3E" w14:textId="77777777" w:rsidTr="004C306A">
        <w:trPr>
          <w:trHeight w:val="510"/>
        </w:trPr>
        <w:tc>
          <w:tcPr>
            <w:tcW w:w="4810" w:type="dxa"/>
            <w:tcBorders>
              <w:top w:val="nil"/>
              <w:left w:val="single" w:sz="8" w:space="0" w:color="auto"/>
              <w:bottom w:val="nil"/>
              <w:right w:val="single" w:sz="8" w:space="0" w:color="auto"/>
            </w:tcBorders>
            <w:shd w:val="clear" w:color="auto" w:fill="auto"/>
            <w:vAlign w:val="center"/>
            <w:hideMark/>
          </w:tcPr>
          <w:p w14:paraId="0AEE9B56" w14:textId="77777777" w:rsidR="005F16C5" w:rsidRPr="00B852EF" w:rsidRDefault="005F16C5" w:rsidP="004C306A">
            <w:pPr>
              <w:rPr>
                <w:sz w:val="20"/>
                <w:szCs w:val="20"/>
              </w:rPr>
            </w:pPr>
            <w:r w:rsidRPr="00B852EF">
              <w:rPr>
                <w:sz w:val="20"/>
                <w:szCs w:val="20"/>
              </w:rPr>
              <w:t>Vrijednosno usklađenje obveza - obveze za kredite i zajmove od institucija i tijela EU - dug</w:t>
            </w:r>
          </w:p>
        </w:tc>
        <w:tc>
          <w:tcPr>
            <w:tcW w:w="1843" w:type="dxa"/>
            <w:tcBorders>
              <w:top w:val="nil"/>
              <w:left w:val="nil"/>
              <w:bottom w:val="nil"/>
              <w:right w:val="single" w:sz="8" w:space="0" w:color="auto"/>
            </w:tcBorders>
            <w:shd w:val="clear" w:color="auto" w:fill="auto"/>
            <w:noWrap/>
            <w:vAlign w:val="center"/>
            <w:hideMark/>
          </w:tcPr>
          <w:p w14:paraId="7EC9F380" w14:textId="77777777" w:rsidR="005F16C5" w:rsidRPr="00B852EF" w:rsidRDefault="005F16C5" w:rsidP="004C306A">
            <w:pPr>
              <w:jc w:val="right"/>
              <w:rPr>
                <w:sz w:val="20"/>
                <w:szCs w:val="20"/>
              </w:rPr>
            </w:pPr>
            <w:r w:rsidRPr="00B852EF">
              <w:rPr>
                <w:sz w:val="20"/>
                <w:szCs w:val="20"/>
              </w:rPr>
              <w:t>13.091.047,30</w:t>
            </w:r>
          </w:p>
        </w:tc>
        <w:tc>
          <w:tcPr>
            <w:tcW w:w="1828" w:type="dxa"/>
            <w:tcBorders>
              <w:top w:val="nil"/>
              <w:left w:val="nil"/>
              <w:bottom w:val="single" w:sz="4" w:space="0" w:color="auto"/>
              <w:right w:val="single" w:sz="8" w:space="0" w:color="auto"/>
            </w:tcBorders>
            <w:shd w:val="clear" w:color="auto" w:fill="auto"/>
            <w:vAlign w:val="center"/>
            <w:hideMark/>
          </w:tcPr>
          <w:p w14:paraId="248F7DB9"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nil"/>
              <w:left w:val="nil"/>
              <w:bottom w:val="nil"/>
              <w:right w:val="single" w:sz="8" w:space="0" w:color="auto"/>
            </w:tcBorders>
            <w:shd w:val="clear" w:color="auto" w:fill="auto"/>
            <w:vAlign w:val="center"/>
            <w:hideMark/>
          </w:tcPr>
          <w:p w14:paraId="2FD6DE60" w14:textId="77777777" w:rsidR="005F16C5" w:rsidRPr="00B852EF" w:rsidRDefault="005F16C5" w:rsidP="004C306A">
            <w:pPr>
              <w:jc w:val="center"/>
              <w:rPr>
                <w:sz w:val="20"/>
                <w:szCs w:val="20"/>
              </w:rPr>
            </w:pPr>
            <w:r w:rsidRPr="00B852EF">
              <w:rPr>
                <w:sz w:val="20"/>
                <w:szCs w:val="20"/>
              </w:rPr>
              <w:t>039</w:t>
            </w:r>
          </w:p>
        </w:tc>
      </w:tr>
      <w:tr w:rsidR="005F16C5" w:rsidRPr="00B852EF" w14:paraId="22C10820" w14:textId="77777777" w:rsidTr="004C306A">
        <w:trPr>
          <w:trHeight w:val="525"/>
        </w:trPr>
        <w:tc>
          <w:tcPr>
            <w:tcW w:w="481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1BD8198" w14:textId="77777777" w:rsidR="005F16C5" w:rsidRPr="00B852EF" w:rsidRDefault="005F16C5" w:rsidP="004C306A">
            <w:pPr>
              <w:rPr>
                <w:sz w:val="20"/>
                <w:szCs w:val="20"/>
              </w:rPr>
            </w:pPr>
            <w:r w:rsidRPr="00B852EF">
              <w:rPr>
                <w:sz w:val="20"/>
                <w:szCs w:val="20"/>
              </w:rPr>
              <w:t>Vrijednosno usklađenje obveza - obveze za kredite i zajmove EK (SURE)- dug</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6E217789" w14:textId="77777777" w:rsidR="005F16C5" w:rsidRPr="00B852EF" w:rsidRDefault="005F16C5" w:rsidP="004C306A">
            <w:pPr>
              <w:jc w:val="right"/>
              <w:rPr>
                <w:sz w:val="20"/>
                <w:szCs w:val="20"/>
              </w:rPr>
            </w:pPr>
            <w:r w:rsidRPr="00B852EF">
              <w:rPr>
                <w:sz w:val="20"/>
                <w:szCs w:val="20"/>
              </w:rPr>
              <w:t>45.624.600,00</w:t>
            </w:r>
          </w:p>
        </w:tc>
        <w:tc>
          <w:tcPr>
            <w:tcW w:w="1828" w:type="dxa"/>
            <w:tcBorders>
              <w:top w:val="nil"/>
              <w:left w:val="nil"/>
              <w:bottom w:val="single" w:sz="4" w:space="0" w:color="auto"/>
              <w:right w:val="single" w:sz="8" w:space="0" w:color="auto"/>
            </w:tcBorders>
            <w:shd w:val="clear" w:color="auto" w:fill="auto"/>
            <w:vAlign w:val="center"/>
            <w:hideMark/>
          </w:tcPr>
          <w:p w14:paraId="14F3C260" w14:textId="77777777" w:rsidR="005F16C5" w:rsidRPr="00B852EF" w:rsidRDefault="005F16C5" w:rsidP="004C306A">
            <w:pPr>
              <w:jc w:val="center"/>
              <w:rPr>
                <w:sz w:val="20"/>
                <w:szCs w:val="20"/>
              </w:rPr>
            </w:pPr>
            <w:r w:rsidRPr="00B852EF">
              <w:rPr>
                <w:b/>
                <w:bCs/>
                <w:sz w:val="20"/>
                <w:szCs w:val="20"/>
              </w:rPr>
              <w:t>smanjenje</w:t>
            </w:r>
            <w:r w:rsidRPr="00B852EF">
              <w:rPr>
                <w:sz w:val="20"/>
                <w:szCs w:val="20"/>
              </w:rPr>
              <w:t xml:space="preserve"> vrijednosti obveza</w:t>
            </w:r>
          </w:p>
        </w:tc>
        <w:tc>
          <w:tcPr>
            <w:tcW w:w="865" w:type="dxa"/>
            <w:tcBorders>
              <w:top w:val="single" w:sz="4" w:space="0" w:color="auto"/>
              <w:left w:val="nil"/>
              <w:bottom w:val="single" w:sz="8" w:space="0" w:color="auto"/>
              <w:right w:val="single" w:sz="8" w:space="0" w:color="auto"/>
            </w:tcBorders>
            <w:shd w:val="clear" w:color="auto" w:fill="auto"/>
            <w:vAlign w:val="center"/>
            <w:hideMark/>
          </w:tcPr>
          <w:p w14:paraId="66749D3D" w14:textId="77777777" w:rsidR="005F16C5" w:rsidRPr="00B852EF" w:rsidRDefault="005F16C5" w:rsidP="004C306A">
            <w:pPr>
              <w:jc w:val="center"/>
              <w:rPr>
                <w:sz w:val="20"/>
                <w:szCs w:val="20"/>
              </w:rPr>
            </w:pPr>
            <w:r w:rsidRPr="00B852EF">
              <w:rPr>
                <w:sz w:val="20"/>
                <w:szCs w:val="20"/>
              </w:rPr>
              <w:t>039</w:t>
            </w:r>
          </w:p>
        </w:tc>
      </w:tr>
    </w:tbl>
    <w:p w14:paraId="62617ABB" w14:textId="77777777" w:rsidR="005F16C5" w:rsidRPr="00B852EF" w:rsidRDefault="005F16C5" w:rsidP="005F16C5">
      <w:pPr>
        <w:jc w:val="center"/>
        <w:rPr>
          <w:sz w:val="28"/>
          <w:szCs w:val="28"/>
        </w:rPr>
      </w:pPr>
    </w:p>
    <w:p w14:paraId="50AE403C" w14:textId="77777777" w:rsidR="005F16C5" w:rsidRPr="00B852EF" w:rsidRDefault="005F16C5" w:rsidP="005F16C5">
      <w:pPr>
        <w:jc w:val="center"/>
        <w:rPr>
          <w:sz w:val="28"/>
          <w:szCs w:val="28"/>
        </w:rPr>
      </w:pPr>
    </w:p>
    <w:p w14:paraId="47E311A4" w14:textId="0595CA5B" w:rsidR="005F16C5" w:rsidRDefault="005F16C5" w:rsidP="005F16C5">
      <w:pPr>
        <w:jc w:val="center"/>
        <w:rPr>
          <w:sz w:val="28"/>
          <w:szCs w:val="28"/>
          <w:highlight w:val="green"/>
        </w:rPr>
      </w:pPr>
    </w:p>
    <w:p w14:paraId="5E80B2D7" w14:textId="481674C3" w:rsidR="00B852EF" w:rsidRDefault="00B852EF" w:rsidP="005F16C5">
      <w:pPr>
        <w:jc w:val="center"/>
        <w:rPr>
          <w:sz w:val="28"/>
          <w:szCs w:val="28"/>
          <w:highlight w:val="green"/>
        </w:rPr>
      </w:pPr>
    </w:p>
    <w:p w14:paraId="208A4165" w14:textId="16C3AD0C" w:rsidR="00B852EF" w:rsidRDefault="00B852EF" w:rsidP="005F16C5">
      <w:pPr>
        <w:jc w:val="center"/>
        <w:rPr>
          <w:sz w:val="28"/>
          <w:szCs w:val="28"/>
          <w:highlight w:val="green"/>
        </w:rPr>
      </w:pPr>
    </w:p>
    <w:p w14:paraId="6BD275C1" w14:textId="5A28AB05" w:rsidR="00B852EF" w:rsidRDefault="00B852EF" w:rsidP="005F16C5">
      <w:pPr>
        <w:jc w:val="center"/>
        <w:rPr>
          <w:sz w:val="28"/>
          <w:szCs w:val="28"/>
          <w:highlight w:val="green"/>
        </w:rPr>
      </w:pPr>
    </w:p>
    <w:p w14:paraId="6535C1CB" w14:textId="2B12FDB3" w:rsidR="00B852EF" w:rsidRDefault="00B852EF" w:rsidP="005F16C5">
      <w:pPr>
        <w:jc w:val="center"/>
        <w:rPr>
          <w:sz w:val="28"/>
          <w:szCs w:val="28"/>
          <w:highlight w:val="green"/>
        </w:rPr>
      </w:pPr>
    </w:p>
    <w:p w14:paraId="129B799F" w14:textId="33B5044D" w:rsidR="00B852EF" w:rsidRDefault="00B852EF" w:rsidP="005F16C5">
      <w:pPr>
        <w:jc w:val="center"/>
        <w:rPr>
          <w:sz w:val="28"/>
          <w:szCs w:val="28"/>
          <w:highlight w:val="green"/>
        </w:rPr>
      </w:pPr>
    </w:p>
    <w:p w14:paraId="4272BC63" w14:textId="44C000B4" w:rsidR="00B852EF" w:rsidRDefault="00B852EF" w:rsidP="005F16C5">
      <w:pPr>
        <w:jc w:val="center"/>
        <w:rPr>
          <w:sz w:val="28"/>
          <w:szCs w:val="28"/>
          <w:highlight w:val="green"/>
        </w:rPr>
      </w:pPr>
    </w:p>
    <w:p w14:paraId="14E7CD8A" w14:textId="392B6730" w:rsidR="00B852EF" w:rsidRDefault="00B852EF" w:rsidP="005F16C5">
      <w:pPr>
        <w:jc w:val="center"/>
        <w:rPr>
          <w:sz w:val="28"/>
          <w:szCs w:val="28"/>
          <w:highlight w:val="green"/>
        </w:rPr>
      </w:pPr>
    </w:p>
    <w:p w14:paraId="51227D52" w14:textId="11AEC0D2" w:rsidR="00B852EF" w:rsidRDefault="00B852EF" w:rsidP="005F16C5">
      <w:pPr>
        <w:jc w:val="center"/>
        <w:rPr>
          <w:sz w:val="28"/>
          <w:szCs w:val="28"/>
          <w:highlight w:val="green"/>
        </w:rPr>
      </w:pPr>
    </w:p>
    <w:p w14:paraId="7827F115" w14:textId="3016DF56" w:rsidR="00B852EF" w:rsidRDefault="00B852EF" w:rsidP="005F16C5">
      <w:pPr>
        <w:jc w:val="center"/>
        <w:rPr>
          <w:sz w:val="28"/>
          <w:szCs w:val="28"/>
          <w:highlight w:val="green"/>
        </w:rPr>
      </w:pPr>
    </w:p>
    <w:p w14:paraId="7882B4FD" w14:textId="05F0C708" w:rsidR="00B852EF" w:rsidRDefault="00B852EF" w:rsidP="005F16C5">
      <w:pPr>
        <w:jc w:val="center"/>
        <w:rPr>
          <w:sz w:val="28"/>
          <w:szCs w:val="28"/>
          <w:highlight w:val="green"/>
        </w:rPr>
      </w:pPr>
    </w:p>
    <w:p w14:paraId="011033A2" w14:textId="730EA093" w:rsidR="00B852EF" w:rsidRDefault="00B852EF" w:rsidP="005F16C5">
      <w:pPr>
        <w:jc w:val="center"/>
        <w:rPr>
          <w:sz w:val="28"/>
          <w:szCs w:val="28"/>
          <w:highlight w:val="green"/>
        </w:rPr>
      </w:pPr>
    </w:p>
    <w:p w14:paraId="13332F40" w14:textId="6FC6F8E7" w:rsidR="00B852EF" w:rsidRDefault="00B852EF" w:rsidP="005F16C5">
      <w:pPr>
        <w:jc w:val="center"/>
        <w:rPr>
          <w:sz w:val="28"/>
          <w:szCs w:val="28"/>
          <w:highlight w:val="green"/>
        </w:rPr>
      </w:pPr>
    </w:p>
    <w:p w14:paraId="3F47A782" w14:textId="0F4BD0A0" w:rsidR="00B852EF" w:rsidRDefault="00B852EF" w:rsidP="005F16C5">
      <w:pPr>
        <w:jc w:val="center"/>
        <w:rPr>
          <w:sz w:val="28"/>
          <w:szCs w:val="28"/>
          <w:highlight w:val="green"/>
        </w:rPr>
      </w:pPr>
    </w:p>
    <w:p w14:paraId="6A8F5460" w14:textId="77777777" w:rsidR="00B852EF" w:rsidRPr="00F60A02" w:rsidRDefault="00B852EF" w:rsidP="005F16C5">
      <w:pPr>
        <w:jc w:val="center"/>
        <w:rPr>
          <w:sz w:val="28"/>
          <w:szCs w:val="28"/>
          <w:highlight w:val="green"/>
        </w:rPr>
      </w:pPr>
    </w:p>
    <w:p w14:paraId="4B315B9A" w14:textId="079E8F22" w:rsidR="005F16C5" w:rsidRPr="00F60A02" w:rsidRDefault="005F16C5" w:rsidP="005F16C5">
      <w:pPr>
        <w:rPr>
          <w:sz w:val="28"/>
          <w:szCs w:val="28"/>
          <w:highlight w:val="green"/>
        </w:rPr>
      </w:pPr>
    </w:p>
    <w:p w14:paraId="3F93F9A3" w14:textId="77777777" w:rsidR="005F16C5" w:rsidRPr="00B852EF" w:rsidRDefault="005F16C5" w:rsidP="005F16C5">
      <w:pPr>
        <w:jc w:val="center"/>
        <w:outlineLvl w:val="0"/>
        <w:rPr>
          <w:b/>
          <w:bCs/>
          <w:sz w:val="28"/>
        </w:rPr>
      </w:pPr>
      <w:r w:rsidRPr="00B852EF">
        <w:rPr>
          <w:b/>
          <w:bCs/>
          <w:sz w:val="28"/>
        </w:rPr>
        <w:lastRenderedPageBreak/>
        <w:t>BILJEŠKE UZ IZVJEŠTAJ O RASHODIMA PREMA FUNKCIJSKOJ KLASIFIKACIJI</w:t>
      </w:r>
    </w:p>
    <w:p w14:paraId="2ADCC220" w14:textId="77777777" w:rsidR="005F16C5" w:rsidRPr="00B852EF" w:rsidRDefault="005F16C5" w:rsidP="005F16C5">
      <w:pPr>
        <w:jc w:val="both"/>
      </w:pPr>
    </w:p>
    <w:p w14:paraId="72100C48" w14:textId="77777777" w:rsidR="005F16C5" w:rsidRPr="00B852EF" w:rsidRDefault="005F16C5" w:rsidP="005F16C5">
      <w:pPr>
        <w:jc w:val="center"/>
        <w:rPr>
          <w:sz w:val="28"/>
          <w:szCs w:val="28"/>
        </w:rPr>
      </w:pPr>
      <w:r w:rsidRPr="00B852EF">
        <w:rPr>
          <w:sz w:val="28"/>
          <w:szCs w:val="28"/>
        </w:rPr>
        <w:t xml:space="preserve">Bilješka 1. </w:t>
      </w:r>
    </w:p>
    <w:p w14:paraId="6CB40B02" w14:textId="77777777" w:rsidR="005F16C5" w:rsidRPr="00B852EF" w:rsidRDefault="005F16C5" w:rsidP="005F16C5">
      <w:pPr>
        <w:jc w:val="both"/>
      </w:pPr>
      <w:r w:rsidRPr="00B852EF">
        <w:t>U Obrascu RAS-funkcijski iskazani su rashodi razreda 3 i 4 prema funkcijama za koje su utrošeni.</w:t>
      </w:r>
    </w:p>
    <w:p w14:paraId="52173872" w14:textId="77777777" w:rsidR="005F16C5" w:rsidRPr="00B852EF" w:rsidRDefault="005F16C5" w:rsidP="005F16C5">
      <w:pPr>
        <w:jc w:val="both"/>
        <w:rPr>
          <w:b/>
          <w:bCs/>
        </w:rPr>
      </w:pPr>
    </w:p>
    <w:p w14:paraId="5FDD5CD5" w14:textId="77777777" w:rsidR="005F16C5" w:rsidRPr="003B30B6" w:rsidRDefault="005F16C5" w:rsidP="005F16C5">
      <w:pPr>
        <w:jc w:val="both"/>
      </w:pPr>
      <w:r w:rsidRPr="00B852EF">
        <w:t xml:space="preserve">Iznosi navedeni u Obrascu RAS-funkcijski odgovaraju ukupno iskazanim rashodima u Obrascu PR-RAS na AOP-u 146 </w:t>
      </w:r>
      <w:r w:rsidRPr="00B852EF">
        <w:rPr>
          <w:i/>
        </w:rPr>
        <w:t>Rashodi poslovanja</w:t>
      </w:r>
      <w:r w:rsidRPr="00B852EF">
        <w:t xml:space="preserve">, umanjenom za iznos na AOP-u 235 </w:t>
      </w:r>
      <w:r w:rsidRPr="00B852EF">
        <w:rPr>
          <w:i/>
        </w:rPr>
        <w:t>Prijenosi proračunskim korisnicima iz nadležnog proračuna za financiranje redovne djelatnosti</w:t>
      </w:r>
      <w:r w:rsidRPr="00B852EF">
        <w:t xml:space="preserve">, i AOP-u 344 </w:t>
      </w:r>
      <w:r w:rsidRPr="00B852EF">
        <w:rPr>
          <w:i/>
        </w:rPr>
        <w:t>Rashodi za nabavu nefinancijske imovine</w:t>
      </w:r>
      <w:r w:rsidRPr="00B852EF">
        <w:t xml:space="preserve">. Iznos rashoda državnog proračuna iskazan u okviru podskupine 367 </w:t>
      </w:r>
      <w:r w:rsidRPr="00B852EF">
        <w:rPr>
          <w:i/>
        </w:rPr>
        <w:t>Prijenosi proračunskim korisnicima iz nadležnog proračuna za financiranje redovne djelatnosti</w:t>
      </w:r>
      <w:r w:rsidRPr="00B852EF">
        <w:t xml:space="preserve"> (AOP 235) ne iskazuje se u Izvještaju o rashodima prema funkcijskoj klasifikaciji državnog proračuna s obzirom na to da je iskazan u izvještajima proračunskih korisnika o rashodima prema funkcijskoj klasifikaciji.</w:t>
      </w:r>
    </w:p>
    <w:p w14:paraId="4A3F350A" w14:textId="77777777" w:rsidR="005F16C5" w:rsidRPr="003B30B6" w:rsidRDefault="005F16C5" w:rsidP="005F16C5">
      <w:pPr>
        <w:jc w:val="both"/>
      </w:pPr>
    </w:p>
    <w:p w14:paraId="75E29C6B" w14:textId="77777777" w:rsidR="005F16C5" w:rsidRPr="003B30B6" w:rsidRDefault="005F16C5" w:rsidP="005F16C5">
      <w:pPr>
        <w:jc w:val="both"/>
      </w:pPr>
    </w:p>
    <w:p w14:paraId="1197A245" w14:textId="77777777" w:rsidR="005F16C5" w:rsidRPr="003B30B6" w:rsidRDefault="005F16C5" w:rsidP="005F16C5">
      <w:pPr>
        <w:jc w:val="both"/>
      </w:pPr>
    </w:p>
    <w:p w14:paraId="1EB36AD9" w14:textId="77777777" w:rsidR="00A11130" w:rsidRDefault="00A11130" w:rsidP="005F16C5">
      <w:pPr>
        <w:jc w:val="both"/>
      </w:pPr>
    </w:p>
    <w:p w14:paraId="35B41663" w14:textId="77777777" w:rsidR="00A11130" w:rsidRDefault="00A11130" w:rsidP="005F16C5">
      <w:pPr>
        <w:jc w:val="both"/>
      </w:pPr>
    </w:p>
    <w:p w14:paraId="78BA247B" w14:textId="77777777" w:rsidR="00A11130" w:rsidRDefault="00A11130" w:rsidP="005F16C5">
      <w:pPr>
        <w:jc w:val="both"/>
      </w:pPr>
    </w:p>
    <w:p w14:paraId="17FB2791" w14:textId="77777777" w:rsidR="00A11130" w:rsidRDefault="00A11130" w:rsidP="005F16C5">
      <w:pPr>
        <w:jc w:val="both"/>
      </w:pPr>
    </w:p>
    <w:p w14:paraId="513E4215" w14:textId="77777777" w:rsidR="00A11130" w:rsidRDefault="00A11130" w:rsidP="005F16C5">
      <w:pPr>
        <w:jc w:val="both"/>
      </w:pPr>
    </w:p>
    <w:p w14:paraId="23ECA97B" w14:textId="77777777" w:rsidR="00A11130" w:rsidRDefault="00A11130" w:rsidP="005F16C5">
      <w:pPr>
        <w:jc w:val="both"/>
      </w:pPr>
    </w:p>
    <w:p w14:paraId="30B41D54" w14:textId="77777777" w:rsidR="00A11130" w:rsidRDefault="00A11130" w:rsidP="005F16C5">
      <w:pPr>
        <w:jc w:val="both"/>
      </w:pPr>
    </w:p>
    <w:p w14:paraId="4C742ED3" w14:textId="77777777" w:rsidR="00A11130" w:rsidRDefault="00A11130" w:rsidP="005F16C5">
      <w:pPr>
        <w:jc w:val="both"/>
      </w:pPr>
    </w:p>
    <w:p w14:paraId="05DDD892" w14:textId="77777777" w:rsidR="00A11130" w:rsidRDefault="00A11130" w:rsidP="005F16C5">
      <w:pPr>
        <w:jc w:val="both"/>
      </w:pPr>
    </w:p>
    <w:p w14:paraId="5FAE5819" w14:textId="77777777" w:rsidR="00A11130" w:rsidRDefault="00A11130" w:rsidP="005F16C5">
      <w:pPr>
        <w:jc w:val="both"/>
      </w:pPr>
    </w:p>
    <w:p w14:paraId="71404FE0" w14:textId="77777777" w:rsidR="00A11130" w:rsidRDefault="00A11130" w:rsidP="005F16C5">
      <w:pPr>
        <w:jc w:val="both"/>
      </w:pPr>
    </w:p>
    <w:p w14:paraId="6717718F" w14:textId="77777777" w:rsidR="00A11130" w:rsidRDefault="00A11130" w:rsidP="005F16C5">
      <w:pPr>
        <w:jc w:val="both"/>
      </w:pPr>
    </w:p>
    <w:p w14:paraId="04B672C8" w14:textId="77777777" w:rsidR="00A11130" w:rsidRDefault="00A11130" w:rsidP="005F16C5">
      <w:pPr>
        <w:jc w:val="both"/>
      </w:pPr>
    </w:p>
    <w:p w14:paraId="154C9297" w14:textId="77777777" w:rsidR="00A11130" w:rsidRDefault="00A11130" w:rsidP="005F16C5">
      <w:pPr>
        <w:jc w:val="both"/>
      </w:pPr>
    </w:p>
    <w:p w14:paraId="37814095" w14:textId="77777777" w:rsidR="00A11130" w:rsidRDefault="00A11130" w:rsidP="005F16C5">
      <w:pPr>
        <w:jc w:val="both"/>
      </w:pPr>
    </w:p>
    <w:p w14:paraId="7C409CFA" w14:textId="77777777" w:rsidR="00A11130" w:rsidRDefault="00A11130" w:rsidP="005F16C5">
      <w:pPr>
        <w:jc w:val="both"/>
      </w:pPr>
    </w:p>
    <w:p w14:paraId="0F3AF67E" w14:textId="1004E589" w:rsidR="00A11130" w:rsidRDefault="00A11130" w:rsidP="005F16C5">
      <w:pPr>
        <w:jc w:val="both"/>
      </w:pPr>
    </w:p>
    <w:p w14:paraId="73637D61" w14:textId="49F70288" w:rsidR="00A11130" w:rsidRDefault="00A11130" w:rsidP="005F16C5">
      <w:pPr>
        <w:jc w:val="both"/>
      </w:pPr>
    </w:p>
    <w:p w14:paraId="685C9208" w14:textId="77777777" w:rsidR="00A11130" w:rsidRDefault="00A11130" w:rsidP="005F16C5">
      <w:pPr>
        <w:jc w:val="both"/>
      </w:pPr>
    </w:p>
    <w:p w14:paraId="708C1513" w14:textId="77777777" w:rsidR="00A11130" w:rsidRDefault="00A11130" w:rsidP="005F16C5">
      <w:pPr>
        <w:jc w:val="both"/>
      </w:pPr>
    </w:p>
    <w:p w14:paraId="0138EC0A" w14:textId="3B741D12" w:rsidR="005F16C5" w:rsidRPr="003B30B6" w:rsidRDefault="005F16C5" w:rsidP="005F16C5">
      <w:pPr>
        <w:jc w:val="both"/>
      </w:pPr>
      <w:r w:rsidRPr="003B30B6">
        <w:t xml:space="preserve">U Zagrebu, </w:t>
      </w:r>
      <w:r>
        <w:t>28. veljače 2022.</w:t>
      </w:r>
    </w:p>
    <w:p w14:paraId="7FC3ED3B" w14:textId="77777777" w:rsidR="005F16C5" w:rsidRPr="003B30B6" w:rsidRDefault="005F16C5" w:rsidP="005F16C5">
      <w:pPr>
        <w:jc w:val="both"/>
      </w:pPr>
    </w:p>
    <w:p w14:paraId="1A70FA15" w14:textId="77777777" w:rsidR="005F16C5" w:rsidRPr="003B30B6" w:rsidRDefault="005F16C5" w:rsidP="005F16C5">
      <w:pPr>
        <w:jc w:val="both"/>
      </w:pPr>
      <w:r w:rsidRPr="003B30B6">
        <w:t xml:space="preserve">Osoba za kontakt: </w:t>
      </w:r>
      <w:r>
        <w:t xml:space="preserve">Anita </w:t>
      </w:r>
      <w:proofErr w:type="spellStart"/>
      <w:r>
        <w:t>Šafarić</w:t>
      </w:r>
      <w:proofErr w:type="spellEnd"/>
    </w:p>
    <w:p w14:paraId="7B36AA34" w14:textId="77777777" w:rsidR="005F16C5" w:rsidRPr="003B30B6" w:rsidRDefault="005F16C5" w:rsidP="005F16C5">
      <w:pPr>
        <w:jc w:val="both"/>
      </w:pPr>
      <w:r>
        <w:t>Telefon: 01/ 4591-143</w:t>
      </w:r>
    </w:p>
    <w:p w14:paraId="7B2C7E07" w14:textId="77777777" w:rsidR="005F16C5" w:rsidRPr="003B30B6" w:rsidRDefault="005F16C5" w:rsidP="005F16C5">
      <w:pPr>
        <w:jc w:val="both"/>
      </w:pPr>
    </w:p>
    <w:p w14:paraId="74EBDD88" w14:textId="77777777" w:rsidR="005F16C5" w:rsidRPr="003B30B6" w:rsidRDefault="005F16C5" w:rsidP="005F16C5">
      <w:pPr>
        <w:jc w:val="both"/>
      </w:pPr>
    </w:p>
    <w:p w14:paraId="179EA883" w14:textId="77777777" w:rsidR="005F16C5" w:rsidRPr="003B30B6" w:rsidRDefault="005F16C5" w:rsidP="005F16C5">
      <w:pPr>
        <w:jc w:val="both"/>
      </w:pPr>
    </w:p>
    <w:p w14:paraId="3CB3780A" w14:textId="77777777" w:rsidR="005F16C5" w:rsidRPr="003B30B6" w:rsidRDefault="005F16C5" w:rsidP="005F16C5">
      <w:pPr>
        <w:ind w:left="2977"/>
        <w:jc w:val="center"/>
        <w:rPr>
          <w:b/>
        </w:rPr>
      </w:pPr>
      <w:r w:rsidRPr="003B30B6">
        <w:rPr>
          <w:b/>
        </w:rPr>
        <w:t>POTPREDSJEDNIK VLADE REPUBLIKE HRVATSKE I MINISTAR FINANCIJA</w:t>
      </w:r>
    </w:p>
    <w:p w14:paraId="4C10F84A" w14:textId="77777777" w:rsidR="005F16C5" w:rsidRPr="003B30B6" w:rsidRDefault="005F16C5" w:rsidP="005F16C5">
      <w:pPr>
        <w:jc w:val="center"/>
        <w:rPr>
          <w:sz w:val="28"/>
          <w:szCs w:val="28"/>
        </w:rPr>
      </w:pPr>
    </w:p>
    <w:p w14:paraId="421214DC" w14:textId="77777777" w:rsidR="005F16C5" w:rsidRPr="003B30B6" w:rsidRDefault="005F16C5" w:rsidP="005F16C5">
      <w:pPr>
        <w:rPr>
          <w:sz w:val="28"/>
          <w:szCs w:val="28"/>
        </w:rPr>
      </w:pPr>
    </w:p>
    <w:p w14:paraId="4AB71DEE" w14:textId="77777777" w:rsidR="005F16C5" w:rsidRDefault="005F16C5" w:rsidP="005F16C5">
      <w:pPr>
        <w:ind w:left="5103"/>
      </w:pPr>
      <w:r w:rsidRPr="003B30B6">
        <w:rPr>
          <w:b/>
        </w:rPr>
        <w:t xml:space="preserve">dr. </w:t>
      </w:r>
      <w:proofErr w:type="spellStart"/>
      <w:r w:rsidRPr="003B30B6">
        <w:rPr>
          <w:b/>
        </w:rPr>
        <w:t>sc</w:t>
      </w:r>
      <w:proofErr w:type="spellEnd"/>
      <w:r w:rsidRPr="003B30B6">
        <w:rPr>
          <w:b/>
        </w:rPr>
        <w:t>. Zdravko Marić</w:t>
      </w:r>
    </w:p>
    <w:p w14:paraId="0C8FE377" w14:textId="628A0551" w:rsidR="00A001B5" w:rsidRPr="00EF4DC9" w:rsidRDefault="00A001B5" w:rsidP="00B232F7"/>
    <w:sectPr w:rsidR="00A001B5" w:rsidRPr="00EF4DC9" w:rsidSect="009D38D9">
      <w:footerReference w:type="even" r:id="rId8"/>
      <w:footerReference w:type="default" r:id="rId9"/>
      <w:pgSz w:w="11906" w:h="16838"/>
      <w:pgMar w:top="1258" w:right="110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F503" w14:textId="77777777" w:rsidR="00C02F15" w:rsidRDefault="00C02F15">
      <w:r>
        <w:separator/>
      </w:r>
    </w:p>
  </w:endnote>
  <w:endnote w:type="continuationSeparator" w:id="0">
    <w:p w14:paraId="049EBFA1" w14:textId="77777777" w:rsidR="00C02F15" w:rsidRDefault="00C0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CA84" w14:textId="77777777" w:rsidR="00C02F15" w:rsidRDefault="00C02F15" w:rsidP="00BB7EF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9E8F63C" w14:textId="77777777" w:rsidR="00C02F15" w:rsidRDefault="00C02F15" w:rsidP="006C129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880C" w14:textId="57054FBE" w:rsidR="00C02F15" w:rsidRDefault="00C02F15" w:rsidP="00BB7EF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27E47">
      <w:rPr>
        <w:rStyle w:val="Brojstranice"/>
        <w:noProof/>
      </w:rPr>
      <w:t>42</w:t>
    </w:r>
    <w:r>
      <w:rPr>
        <w:rStyle w:val="Brojstranice"/>
      </w:rPr>
      <w:fldChar w:fldCharType="end"/>
    </w:r>
  </w:p>
  <w:p w14:paraId="620D31DD" w14:textId="77777777" w:rsidR="00C02F15" w:rsidRDefault="00C02F15" w:rsidP="006C129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8F59" w14:textId="77777777" w:rsidR="00C02F15" w:rsidRDefault="00C02F15">
      <w:r>
        <w:separator/>
      </w:r>
    </w:p>
  </w:footnote>
  <w:footnote w:type="continuationSeparator" w:id="0">
    <w:p w14:paraId="3D7BD919" w14:textId="77777777" w:rsidR="00C02F15" w:rsidRDefault="00C02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5B8"/>
    <w:multiLevelType w:val="hybridMultilevel"/>
    <w:tmpl w:val="9D08C8C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90FE1"/>
    <w:multiLevelType w:val="hybridMultilevel"/>
    <w:tmpl w:val="47C4BE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DE11F4F"/>
    <w:multiLevelType w:val="hybridMultilevel"/>
    <w:tmpl w:val="A4806116"/>
    <w:lvl w:ilvl="0" w:tplc="8E3E8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911FA"/>
    <w:multiLevelType w:val="hybridMultilevel"/>
    <w:tmpl w:val="A920B396"/>
    <w:lvl w:ilvl="0" w:tplc="8E3E8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0972DB"/>
    <w:multiLevelType w:val="hybridMultilevel"/>
    <w:tmpl w:val="216A3B8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E0350"/>
    <w:multiLevelType w:val="hybridMultilevel"/>
    <w:tmpl w:val="65E0DD46"/>
    <w:lvl w:ilvl="0" w:tplc="8E3E8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FE5A61"/>
    <w:multiLevelType w:val="hybridMultilevel"/>
    <w:tmpl w:val="2F6EF0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C3D97"/>
    <w:multiLevelType w:val="hybridMultilevel"/>
    <w:tmpl w:val="2F1E08BE"/>
    <w:lvl w:ilvl="0" w:tplc="8E3E8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25A1785"/>
    <w:multiLevelType w:val="hybridMultilevel"/>
    <w:tmpl w:val="F29A98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B20BF"/>
    <w:multiLevelType w:val="hybridMultilevel"/>
    <w:tmpl w:val="11C2B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2056D1"/>
    <w:multiLevelType w:val="hybridMultilevel"/>
    <w:tmpl w:val="6EECE6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C2C1940"/>
    <w:multiLevelType w:val="hybridMultilevel"/>
    <w:tmpl w:val="EF32E1A8"/>
    <w:lvl w:ilvl="0" w:tplc="D98EAD1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82CEE"/>
    <w:multiLevelType w:val="hybridMultilevel"/>
    <w:tmpl w:val="B972E594"/>
    <w:lvl w:ilvl="0" w:tplc="94F87B78">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7BFA05F6"/>
    <w:multiLevelType w:val="hybridMultilevel"/>
    <w:tmpl w:val="B45221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FE25610"/>
    <w:multiLevelType w:val="hybridMultilevel"/>
    <w:tmpl w:val="07EC43D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4"/>
  </w:num>
  <w:num w:numId="4">
    <w:abstractNumId w:val="6"/>
  </w:num>
  <w:num w:numId="5">
    <w:abstractNumId w:val="0"/>
  </w:num>
  <w:num w:numId="6">
    <w:abstractNumId w:val="4"/>
  </w:num>
  <w:num w:numId="7">
    <w:abstractNumId w:val="9"/>
  </w:num>
  <w:num w:numId="8">
    <w:abstractNumId w:val="1"/>
  </w:num>
  <w:num w:numId="9">
    <w:abstractNumId w:val="10"/>
  </w:num>
  <w:num w:numId="10">
    <w:abstractNumId w:val="13"/>
  </w:num>
  <w:num w:numId="11">
    <w:abstractNumId w:val="5"/>
  </w:num>
  <w:num w:numId="12">
    <w:abstractNumId w:val="7"/>
  </w:num>
  <w:num w:numId="13">
    <w:abstractNumId w:val="2"/>
  </w:num>
  <w:num w:numId="14">
    <w:abstractNumId w:val="3"/>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2A"/>
    <w:rsid w:val="00001CE7"/>
    <w:rsid w:val="00002EAE"/>
    <w:rsid w:val="000037B4"/>
    <w:rsid w:val="00004202"/>
    <w:rsid w:val="00004BC7"/>
    <w:rsid w:val="00004C08"/>
    <w:rsid w:val="00005934"/>
    <w:rsid w:val="00010162"/>
    <w:rsid w:val="00010764"/>
    <w:rsid w:val="0001234C"/>
    <w:rsid w:val="00013B6C"/>
    <w:rsid w:val="00014278"/>
    <w:rsid w:val="000145E6"/>
    <w:rsid w:val="00020843"/>
    <w:rsid w:val="00020AE6"/>
    <w:rsid w:val="000214F8"/>
    <w:rsid w:val="00021B5B"/>
    <w:rsid w:val="00023161"/>
    <w:rsid w:val="000234E6"/>
    <w:rsid w:val="0002499F"/>
    <w:rsid w:val="00026487"/>
    <w:rsid w:val="00030229"/>
    <w:rsid w:val="00030923"/>
    <w:rsid w:val="00030B7C"/>
    <w:rsid w:val="00031071"/>
    <w:rsid w:val="00031BF0"/>
    <w:rsid w:val="00031FFB"/>
    <w:rsid w:val="000351AF"/>
    <w:rsid w:val="000351BB"/>
    <w:rsid w:val="00035790"/>
    <w:rsid w:val="00036CA2"/>
    <w:rsid w:val="000406AC"/>
    <w:rsid w:val="000410ED"/>
    <w:rsid w:val="00046613"/>
    <w:rsid w:val="00046AF8"/>
    <w:rsid w:val="000518A4"/>
    <w:rsid w:val="0005505F"/>
    <w:rsid w:val="000550D6"/>
    <w:rsid w:val="000555AF"/>
    <w:rsid w:val="000563A2"/>
    <w:rsid w:val="00056879"/>
    <w:rsid w:val="00057DB3"/>
    <w:rsid w:val="00057EC3"/>
    <w:rsid w:val="00060E6C"/>
    <w:rsid w:val="000619E5"/>
    <w:rsid w:val="0006270D"/>
    <w:rsid w:val="00064340"/>
    <w:rsid w:val="00064D21"/>
    <w:rsid w:val="00067276"/>
    <w:rsid w:val="00067854"/>
    <w:rsid w:val="00067FD6"/>
    <w:rsid w:val="0007053A"/>
    <w:rsid w:val="00070FE0"/>
    <w:rsid w:val="00071726"/>
    <w:rsid w:val="0007384F"/>
    <w:rsid w:val="00073A73"/>
    <w:rsid w:val="0007469E"/>
    <w:rsid w:val="0007686B"/>
    <w:rsid w:val="000801AE"/>
    <w:rsid w:val="0008068C"/>
    <w:rsid w:val="00081D40"/>
    <w:rsid w:val="0008217A"/>
    <w:rsid w:val="00082B26"/>
    <w:rsid w:val="00083538"/>
    <w:rsid w:val="000836D2"/>
    <w:rsid w:val="00083979"/>
    <w:rsid w:val="00084FD4"/>
    <w:rsid w:val="00086647"/>
    <w:rsid w:val="00086A4C"/>
    <w:rsid w:val="00086C57"/>
    <w:rsid w:val="00087198"/>
    <w:rsid w:val="00090F03"/>
    <w:rsid w:val="00091E21"/>
    <w:rsid w:val="0009308D"/>
    <w:rsid w:val="00093986"/>
    <w:rsid w:val="000939E7"/>
    <w:rsid w:val="000944AF"/>
    <w:rsid w:val="00094FC6"/>
    <w:rsid w:val="0009640B"/>
    <w:rsid w:val="00097EE3"/>
    <w:rsid w:val="000A085F"/>
    <w:rsid w:val="000A1BF1"/>
    <w:rsid w:val="000A4B43"/>
    <w:rsid w:val="000A4C6F"/>
    <w:rsid w:val="000A5496"/>
    <w:rsid w:val="000B0C67"/>
    <w:rsid w:val="000B22BA"/>
    <w:rsid w:val="000B410A"/>
    <w:rsid w:val="000B65FC"/>
    <w:rsid w:val="000B6D48"/>
    <w:rsid w:val="000B70A3"/>
    <w:rsid w:val="000C34A3"/>
    <w:rsid w:val="000C38DB"/>
    <w:rsid w:val="000C4E91"/>
    <w:rsid w:val="000C5275"/>
    <w:rsid w:val="000C6CA5"/>
    <w:rsid w:val="000C6F9F"/>
    <w:rsid w:val="000D0690"/>
    <w:rsid w:val="000D0A10"/>
    <w:rsid w:val="000D0AF4"/>
    <w:rsid w:val="000D2017"/>
    <w:rsid w:val="000D2171"/>
    <w:rsid w:val="000D28C7"/>
    <w:rsid w:val="000D2A53"/>
    <w:rsid w:val="000D3951"/>
    <w:rsid w:val="000E163B"/>
    <w:rsid w:val="000E1797"/>
    <w:rsid w:val="000E2361"/>
    <w:rsid w:val="000E3067"/>
    <w:rsid w:val="000E333C"/>
    <w:rsid w:val="000E3615"/>
    <w:rsid w:val="000E39C4"/>
    <w:rsid w:val="000E5702"/>
    <w:rsid w:val="000E70A8"/>
    <w:rsid w:val="000E7B1B"/>
    <w:rsid w:val="000E7C40"/>
    <w:rsid w:val="000F31A5"/>
    <w:rsid w:val="000F359D"/>
    <w:rsid w:val="000F406D"/>
    <w:rsid w:val="000F4A8F"/>
    <w:rsid w:val="000F4B57"/>
    <w:rsid w:val="000F53C4"/>
    <w:rsid w:val="000F66C7"/>
    <w:rsid w:val="000F6AEA"/>
    <w:rsid w:val="0010018E"/>
    <w:rsid w:val="00100CF5"/>
    <w:rsid w:val="00102A63"/>
    <w:rsid w:val="00105025"/>
    <w:rsid w:val="001054DB"/>
    <w:rsid w:val="001072F8"/>
    <w:rsid w:val="001109D4"/>
    <w:rsid w:val="00111D3B"/>
    <w:rsid w:val="001125E5"/>
    <w:rsid w:val="00113EB5"/>
    <w:rsid w:val="001151AA"/>
    <w:rsid w:val="001172D7"/>
    <w:rsid w:val="001177A6"/>
    <w:rsid w:val="001207A5"/>
    <w:rsid w:val="00120A22"/>
    <w:rsid w:val="00120B07"/>
    <w:rsid w:val="0012181C"/>
    <w:rsid w:val="00122380"/>
    <w:rsid w:val="00122765"/>
    <w:rsid w:val="00124283"/>
    <w:rsid w:val="00125307"/>
    <w:rsid w:val="00125661"/>
    <w:rsid w:val="00125982"/>
    <w:rsid w:val="00125B7F"/>
    <w:rsid w:val="00126A6E"/>
    <w:rsid w:val="00130F77"/>
    <w:rsid w:val="00131438"/>
    <w:rsid w:val="0013508A"/>
    <w:rsid w:val="001374FB"/>
    <w:rsid w:val="001400FB"/>
    <w:rsid w:val="001406BC"/>
    <w:rsid w:val="00143F25"/>
    <w:rsid w:val="00144773"/>
    <w:rsid w:val="00145346"/>
    <w:rsid w:val="001454FD"/>
    <w:rsid w:val="0014715C"/>
    <w:rsid w:val="001507FB"/>
    <w:rsid w:val="00151721"/>
    <w:rsid w:val="00152AE3"/>
    <w:rsid w:val="00153183"/>
    <w:rsid w:val="001567F1"/>
    <w:rsid w:val="00160316"/>
    <w:rsid w:val="00161224"/>
    <w:rsid w:val="001619A8"/>
    <w:rsid w:val="001629F6"/>
    <w:rsid w:val="00162B15"/>
    <w:rsid w:val="0016321D"/>
    <w:rsid w:val="00163A0E"/>
    <w:rsid w:val="00166566"/>
    <w:rsid w:val="00167498"/>
    <w:rsid w:val="00175431"/>
    <w:rsid w:val="00175EBA"/>
    <w:rsid w:val="00176642"/>
    <w:rsid w:val="00176F1C"/>
    <w:rsid w:val="0017740C"/>
    <w:rsid w:val="00177DF6"/>
    <w:rsid w:val="00185BA2"/>
    <w:rsid w:val="0018630A"/>
    <w:rsid w:val="00187157"/>
    <w:rsid w:val="00190EA0"/>
    <w:rsid w:val="00191796"/>
    <w:rsid w:val="00192CA0"/>
    <w:rsid w:val="00192F2B"/>
    <w:rsid w:val="00192F9A"/>
    <w:rsid w:val="00194C3B"/>
    <w:rsid w:val="00194C9F"/>
    <w:rsid w:val="00195027"/>
    <w:rsid w:val="00195290"/>
    <w:rsid w:val="00196058"/>
    <w:rsid w:val="001A0D45"/>
    <w:rsid w:val="001A32D4"/>
    <w:rsid w:val="001A4334"/>
    <w:rsid w:val="001A47E2"/>
    <w:rsid w:val="001A6449"/>
    <w:rsid w:val="001A730A"/>
    <w:rsid w:val="001B078E"/>
    <w:rsid w:val="001B16A9"/>
    <w:rsid w:val="001B19D2"/>
    <w:rsid w:val="001B237A"/>
    <w:rsid w:val="001B3A47"/>
    <w:rsid w:val="001B4866"/>
    <w:rsid w:val="001B4A36"/>
    <w:rsid w:val="001B5434"/>
    <w:rsid w:val="001B5CCB"/>
    <w:rsid w:val="001C064F"/>
    <w:rsid w:val="001C08AD"/>
    <w:rsid w:val="001C28AC"/>
    <w:rsid w:val="001C3D17"/>
    <w:rsid w:val="001C5C59"/>
    <w:rsid w:val="001C6FD5"/>
    <w:rsid w:val="001C7539"/>
    <w:rsid w:val="001D0C5E"/>
    <w:rsid w:val="001D1663"/>
    <w:rsid w:val="001D1ACA"/>
    <w:rsid w:val="001D316B"/>
    <w:rsid w:val="001D53A9"/>
    <w:rsid w:val="001D5476"/>
    <w:rsid w:val="001D5763"/>
    <w:rsid w:val="001D57E9"/>
    <w:rsid w:val="001D6B44"/>
    <w:rsid w:val="001D7299"/>
    <w:rsid w:val="001E0265"/>
    <w:rsid w:val="001E054B"/>
    <w:rsid w:val="001E1797"/>
    <w:rsid w:val="001E2625"/>
    <w:rsid w:val="001E3415"/>
    <w:rsid w:val="001E34CC"/>
    <w:rsid w:val="001E5544"/>
    <w:rsid w:val="001E63EE"/>
    <w:rsid w:val="001E7620"/>
    <w:rsid w:val="001E7C96"/>
    <w:rsid w:val="001F17AB"/>
    <w:rsid w:val="001F1CEA"/>
    <w:rsid w:val="001F1E35"/>
    <w:rsid w:val="001F427B"/>
    <w:rsid w:val="001F4E2B"/>
    <w:rsid w:val="001F5674"/>
    <w:rsid w:val="001F60AF"/>
    <w:rsid w:val="001F65D0"/>
    <w:rsid w:val="00200824"/>
    <w:rsid w:val="0020139E"/>
    <w:rsid w:val="00203E70"/>
    <w:rsid w:val="00204A72"/>
    <w:rsid w:val="00205963"/>
    <w:rsid w:val="00210A58"/>
    <w:rsid w:val="00210B2D"/>
    <w:rsid w:val="002117E1"/>
    <w:rsid w:val="00212455"/>
    <w:rsid w:val="00213B94"/>
    <w:rsid w:val="00221A50"/>
    <w:rsid w:val="00222402"/>
    <w:rsid w:val="0022780A"/>
    <w:rsid w:val="0023062E"/>
    <w:rsid w:val="002366BE"/>
    <w:rsid w:val="00237246"/>
    <w:rsid w:val="00237B1A"/>
    <w:rsid w:val="00240C6B"/>
    <w:rsid w:val="00242152"/>
    <w:rsid w:val="00243358"/>
    <w:rsid w:val="0024454B"/>
    <w:rsid w:val="00244E30"/>
    <w:rsid w:val="00244E96"/>
    <w:rsid w:val="0024553C"/>
    <w:rsid w:val="00245B8C"/>
    <w:rsid w:val="00246314"/>
    <w:rsid w:val="0024675D"/>
    <w:rsid w:val="00246FB4"/>
    <w:rsid w:val="00247841"/>
    <w:rsid w:val="00252AFC"/>
    <w:rsid w:val="00252E2D"/>
    <w:rsid w:val="00253216"/>
    <w:rsid w:val="0025375D"/>
    <w:rsid w:val="0025385C"/>
    <w:rsid w:val="0025462D"/>
    <w:rsid w:val="0025536F"/>
    <w:rsid w:val="002560E4"/>
    <w:rsid w:val="002605A6"/>
    <w:rsid w:val="00260ADB"/>
    <w:rsid w:val="00260B60"/>
    <w:rsid w:val="00260DCA"/>
    <w:rsid w:val="00261CC4"/>
    <w:rsid w:val="0026226D"/>
    <w:rsid w:val="0026238B"/>
    <w:rsid w:val="002626BD"/>
    <w:rsid w:val="0026414E"/>
    <w:rsid w:val="00264E28"/>
    <w:rsid w:val="00265949"/>
    <w:rsid w:val="002659F9"/>
    <w:rsid w:val="002666C3"/>
    <w:rsid w:val="00266B6F"/>
    <w:rsid w:val="0027093F"/>
    <w:rsid w:val="002726A4"/>
    <w:rsid w:val="00272BF9"/>
    <w:rsid w:val="0027361C"/>
    <w:rsid w:val="0028083F"/>
    <w:rsid w:val="0028094F"/>
    <w:rsid w:val="00281B3F"/>
    <w:rsid w:val="0028391E"/>
    <w:rsid w:val="00283B56"/>
    <w:rsid w:val="00285213"/>
    <w:rsid w:val="0028591C"/>
    <w:rsid w:val="00285AAF"/>
    <w:rsid w:val="002866E8"/>
    <w:rsid w:val="00286F01"/>
    <w:rsid w:val="0029197B"/>
    <w:rsid w:val="0029298E"/>
    <w:rsid w:val="002947E9"/>
    <w:rsid w:val="0029527B"/>
    <w:rsid w:val="002961A1"/>
    <w:rsid w:val="00296DB5"/>
    <w:rsid w:val="002A18AE"/>
    <w:rsid w:val="002A2873"/>
    <w:rsid w:val="002A2A57"/>
    <w:rsid w:val="002A3319"/>
    <w:rsid w:val="002A3FE7"/>
    <w:rsid w:val="002A4546"/>
    <w:rsid w:val="002A4796"/>
    <w:rsid w:val="002A6A6C"/>
    <w:rsid w:val="002A7797"/>
    <w:rsid w:val="002B15F7"/>
    <w:rsid w:val="002B16E2"/>
    <w:rsid w:val="002B39CC"/>
    <w:rsid w:val="002B50DF"/>
    <w:rsid w:val="002B5E31"/>
    <w:rsid w:val="002C35F7"/>
    <w:rsid w:val="002C413B"/>
    <w:rsid w:val="002C445A"/>
    <w:rsid w:val="002C55AA"/>
    <w:rsid w:val="002C747F"/>
    <w:rsid w:val="002C7AEA"/>
    <w:rsid w:val="002C7FD0"/>
    <w:rsid w:val="002D07C6"/>
    <w:rsid w:val="002D0BB1"/>
    <w:rsid w:val="002D2C85"/>
    <w:rsid w:val="002D31F3"/>
    <w:rsid w:val="002D3CF6"/>
    <w:rsid w:val="002D767F"/>
    <w:rsid w:val="002D7B6A"/>
    <w:rsid w:val="002E0C36"/>
    <w:rsid w:val="002E0DB5"/>
    <w:rsid w:val="002E1A5E"/>
    <w:rsid w:val="002E1DB9"/>
    <w:rsid w:val="002E32F6"/>
    <w:rsid w:val="002E4886"/>
    <w:rsid w:val="002E7AB3"/>
    <w:rsid w:val="002F1199"/>
    <w:rsid w:val="002F1BD2"/>
    <w:rsid w:val="002F1FFE"/>
    <w:rsid w:val="002F2308"/>
    <w:rsid w:val="002F31C3"/>
    <w:rsid w:val="002F40B1"/>
    <w:rsid w:val="002F4C54"/>
    <w:rsid w:val="002F5014"/>
    <w:rsid w:val="002F5D98"/>
    <w:rsid w:val="0030082E"/>
    <w:rsid w:val="003015FD"/>
    <w:rsid w:val="003018DC"/>
    <w:rsid w:val="00301DA2"/>
    <w:rsid w:val="00302AE9"/>
    <w:rsid w:val="00303376"/>
    <w:rsid w:val="00304F01"/>
    <w:rsid w:val="0030503F"/>
    <w:rsid w:val="00305230"/>
    <w:rsid w:val="003058E1"/>
    <w:rsid w:val="00305BBF"/>
    <w:rsid w:val="00305FED"/>
    <w:rsid w:val="003067C5"/>
    <w:rsid w:val="0030723C"/>
    <w:rsid w:val="00310A35"/>
    <w:rsid w:val="00310EE2"/>
    <w:rsid w:val="00311088"/>
    <w:rsid w:val="00312FA3"/>
    <w:rsid w:val="0031427B"/>
    <w:rsid w:val="003152B3"/>
    <w:rsid w:val="00316860"/>
    <w:rsid w:val="00316EA1"/>
    <w:rsid w:val="00316F66"/>
    <w:rsid w:val="00316F86"/>
    <w:rsid w:val="00317243"/>
    <w:rsid w:val="003177ED"/>
    <w:rsid w:val="00321322"/>
    <w:rsid w:val="00321432"/>
    <w:rsid w:val="00322655"/>
    <w:rsid w:val="00322E28"/>
    <w:rsid w:val="00324EB5"/>
    <w:rsid w:val="003311D4"/>
    <w:rsid w:val="0033212A"/>
    <w:rsid w:val="003354A2"/>
    <w:rsid w:val="00335645"/>
    <w:rsid w:val="00335BC4"/>
    <w:rsid w:val="0034082A"/>
    <w:rsid w:val="00340B64"/>
    <w:rsid w:val="00340E20"/>
    <w:rsid w:val="00341286"/>
    <w:rsid w:val="00343446"/>
    <w:rsid w:val="003444F6"/>
    <w:rsid w:val="00344A59"/>
    <w:rsid w:val="00346114"/>
    <w:rsid w:val="00346C21"/>
    <w:rsid w:val="00350BF7"/>
    <w:rsid w:val="00350E4C"/>
    <w:rsid w:val="00352037"/>
    <w:rsid w:val="003533A4"/>
    <w:rsid w:val="003534A1"/>
    <w:rsid w:val="00354D84"/>
    <w:rsid w:val="00357706"/>
    <w:rsid w:val="0036069A"/>
    <w:rsid w:val="00361BC7"/>
    <w:rsid w:val="00361CFF"/>
    <w:rsid w:val="003634B5"/>
    <w:rsid w:val="00363BF5"/>
    <w:rsid w:val="003643C0"/>
    <w:rsid w:val="00364802"/>
    <w:rsid w:val="00365241"/>
    <w:rsid w:val="00365902"/>
    <w:rsid w:val="00366034"/>
    <w:rsid w:val="00366F36"/>
    <w:rsid w:val="00367120"/>
    <w:rsid w:val="003737C1"/>
    <w:rsid w:val="00373A8E"/>
    <w:rsid w:val="003741E0"/>
    <w:rsid w:val="00374272"/>
    <w:rsid w:val="00374C76"/>
    <w:rsid w:val="0037530D"/>
    <w:rsid w:val="0037552A"/>
    <w:rsid w:val="00375DA8"/>
    <w:rsid w:val="00375E6F"/>
    <w:rsid w:val="00376208"/>
    <w:rsid w:val="00377864"/>
    <w:rsid w:val="00380A94"/>
    <w:rsid w:val="00381B41"/>
    <w:rsid w:val="0038209F"/>
    <w:rsid w:val="003823E9"/>
    <w:rsid w:val="00384939"/>
    <w:rsid w:val="00384A12"/>
    <w:rsid w:val="00385399"/>
    <w:rsid w:val="00385AFF"/>
    <w:rsid w:val="003863E6"/>
    <w:rsid w:val="00386F65"/>
    <w:rsid w:val="003871E4"/>
    <w:rsid w:val="00390CFE"/>
    <w:rsid w:val="003931EC"/>
    <w:rsid w:val="00393497"/>
    <w:rsid w:val="00395852"/>
    <w:rsid w:val="00395AF4"/>
    <w:rsid w:val="00396015"/>
    <w:rsid w:val="0039627C"/>
    <w:rsid w:val="0039712F"/>
    <w:rsid w:val="003A06E4"/>
    <w:rsid w:val="003A25B6"/>
    <w:rsid w:val="003A2F55"/>
    <w:rsid w:val="003A42B3"/>
    <w:rsid w:val="003A7705"/>
    <w:rsid w:val="003B1854"/>
    <w:rsid w:val="003B19DD"/>
    <w:rsid w:val="003B30B6"/>
    <w:rsid w:val="003B61FF"/>
    <w:rsid w:val="003B63E6"/>
    <w:rsid w:val="003B66DB"/>
    <w:rsid w:val="003B6950"/>
    <w:rsid w:val="003B7EDB"/>
    <w:rsid w:val="003C1DB1"/>
    <w:rsid w:val="003C306B"/>
    <w:rsid w:val="003C45EC"/>
    <w:rsid w:val="003C48FB"/>
    <w:rsid w:val="003C526E"/>
    <w:rsid w:val="003C55AB"/>
    <w:rsid w:val="003C5B0F"/>
    <w:rsid w:val="003C629C"/>
    <w:rsid w:val="003C6882"/>
    <w:rsid w:val="003C7825"/>
    <w:rsid w:val="003D0F31"/>
    <w:rsid w:val="003D13F4"/>
    <w:rsid w:val="003D1A10"/>
    <w:rsid w:val="003D1CBA"/>
    <w:rsid w:val="003D3222"/>
    <w:rsid w:val="003D3CC3"/>
    <w:rsid w:val="003D4026"/>
    <w:rsid w:val="003D473D"/>
    <w:rsid w:val="003D546C"/>
    <w:rsid w:val="003D6346"/>
    <w:rsid w:val="003D6D4F"/>
    <w:rsid w:val="003D7B51"/>
    <w:rsid w:val="003E021D"/>
    <w:rsid w:val="003E31B7"/>
    <w:rsid w:val="003E5367"/>
    <w:rsid w:val="003F0029"/>
    <w:rsid w:val="003F0A54"/>
    <w:rsid w:val="003F21C2"/>
    <w:rsid w:val="003F392E"/>
    <w:rsid w:val="003F5334"/>
    <w:rsid w:val="003F5430"/>
    <w:rsid w:val="003F5F05"/>
    <w:rsid w:val="003F6353"/>
    <w:rsid w:val="003F6839"/>
    <w:rsid w:val="003F6B05"/>
    <w:rsid w:val="003F75D0"/>
    <w:rsid w:val="00402A2C"/>
    <w:rsid w:val="00403226"/>
    <w:rsid w:val="00406FC2"/>
    <w:rsid w:val="004105D2"/>
    <w:rsid w:val="0041206B"/>
    <w:rsid w:val="004127FA"/>
    <w:rsid w:val="00413DBB"/>
    <w:rsid w:val="00414AAF"/>
    <w:rsid w:val="004152D2"/>
    <w:rsid w:val="00417BEC"/>
    <w:rsid w:val="00420A21"/>
    <w:rsid w:val="00421367"/>
    <w:rsid w:val="00421387"/>
    <w:rsid w:val="004223A7"/>
    <w:rsid w:val="00422FDD"/>
    <w:rsid w:val="0042332D"/>
    <w:rsid w:val="0042346F"/>
    <w:rsid w:val="004234A4"/>
    <w:rsid w:val="00423A54"/>
    <w:rsid w:val="00424178"/>
    <w:rsid w:val="0042437D"/>
    <w:rsid w:val="00426796"/>
    <w:rsid w:val="00426E2A"/>
    <w:rsid w:val="00431C01"/>
    <w:rsid w:val="00432363"/>
    <w:rsid w:val="00432370"/>
    <w:rsid w:val="004326AD"/>
    <w:rsid w:val="0043597E"/>
    <w:rsid w:val="00436279"/>
    <w:rsid w:val="0043666A"/>
    <w:rsid w:val="004370AE"/>
    <w:rsid w:val="00441656"/>
    <w:rsid w:val="00441755"/>
    <w:rsid w:val="00441980"/>
    <w:rsid w:val="00441D56"/>
    <w:rsid w:val="004423D5"/>
    <w:rsid w:val="004429FD"/>
    <w:rsid w:val="00443313"/>
    <w:rsid w:val="004435E5"/>
    <w:rsid w:val="00443BF7"/>
    <w:rsid w:val="00444235"/>
    <w:rsid w:val="004453B0"/>
    <w:rsid w:val="00445497"/>
    <w:rsid w:val="004455BA"/>
    <w:rsid w:val="00445E47"/>
    <w:rsid w:val="00446384"/>
    <w:rsid w:val="004475FD"/>
    <w:rsid w:val="00447DA0"/>
    <w:rsid w:val="00450404"/>
    <w:rsid w:val="004534DC"/>
    <w:rsid w:val="00455541"/>
    <w:rsid w:val="00460B2B"/>
    <w:rsid w:val="00460FBD"/>
    <w:rsid w:val="00461CCD"/>
    <w:rsid w:val="00464C08"/>
    <w:rsid w:val="004672BB"/>
    <w:rsid w:val="00471259"/>
    <w:rsid w:val="00471556"/>
    <w:rsid w:val="00473AAF"/>
    <w:rsid w:val="00473B26"/>
    <w:rsid w:val="00474CAD"/>
    <w:rsid w:val="00474F34"/>
    <w:rsid w:val="004764C8"/>
    <w:rsid w:val="00476969"/>
    <w:rsid w:val="004806A0"/>
    <w:rsid w:val="004815AB"/>
    <w:rsid w:val="00481988"/>
    <w:rsid w:val="0048271A"/>
    <w:rsid w:val="00482C68"/>
    <w:rsid w:val="0048519D"/>
    <w:rsid w:val="004866E3"/>
    <w:rsid w:val="0049121E"/>
    <w:rsid w:val="00491AD6"/>
    <w:rsid w:val="00491D07"/>
    <w:rsid w:val="00492423"/>
    <w:rsid w:val="00496DF6"/>
    <w:rsid w:val="00496F1C"/>
    <w:rsid w:val="00497786"/>
    <w:rsid w:val="004978B5"/>
    <w:rsid w:val="00497E66"/>
    <w:rsid w:val="004A1775"/>
    <w:rsid w:val="004A2ABE"/>
    <w:rsid w:val="004A2C08"/>
    <w:rsid w:val="004A62D3"/>
    <w:rsid w:val="004A6CC2"/>
    <w:rsid w:val="004A72B0"/>
    <w:rsid w:val="004A738D"/>
    <w:rsid w:val="004A73A4"/>
    <w:rsid w:val="004A7B8B"/>
    <w:rsid w:val="004B05F6"/>
    <w:rsid w:val="004B3C2C"/>
    <w:rsid w:val="004B45A1"/>
    <w:rsid w:val="004B4631"/>
    <w:rsid w:val="004B527B"/>
    <w:rsid w:val="004B5353"/>
    <w:rsid w:val="004B5C6E"/>
    <w:rsid w:val="004C0252"/>
    <w:rsid w:val="004C05BE"/>
    <w:rsid w:val="004C1AA7"/>
    <w:rsid w:val="004C306A"/>
    <w:rsid w:val="004C3D4D"/>
    <w:rsid w:val="004C566B"/>
    <w:rsid w:val="004C6C6A"/>
    <w:rsid w:val="004C752E"/>
    <w:rsid w:val="004D28EF"/>
    <w:rsid w:val="004D34F1"/>
    <w:rsid w:val="004D5CDF"/>
    <w:rsid w:val="004D6BAF"/>
    <w:rsid w:val="004D6E8C"/>
    <w:rsid w:val="004D75FC"/>
    <w:rsid w:val="004E1036"/>
    <w:rsid w:val="004E175F"/>
    <w:rsid w:val="004E21E0"/>
    <w:rsid w:val="004E4FD1"/>
    <w:rsid w:val="004E5EFB"/>
    <w:rsid w:val="004E68E2"/>
    <w:rsid w:val="004E6EC8"/>
    <w:rsid w:val="004E7029"/>
    <w:rsid w:val="004E7846"/>
    <w:rsid w:val="004F0AB2"/>
    <w:rsid w:val="004F30AB"/>
    <w:rsid w:val="004F3573"/>
    <w:rsid w:val="004F4A15"/>
    <w:rsid w:val="004F663D"/>
    <w:rsid w:val="004F729D"/>
    <w:rsid w:val="0050039D"/>
    <w:rsid w:val="005029FD"/>
    <w:rsid w:val="00502C06"/>
    <w:rsid w:val="00503005"/>
    <w:rsid w:val="005031EE"/>
    <w:rsid w:val="00504FD9"/>
    <w:rsid w:val="00505E1D"/>
    <w:rsid w:val="005073BB"/>
    <w:rsid w:val="00511128"/>
    <w:rsid w:val="0051192A"/>
    <w:rsid w:val="00513389"/>
    <w:rsid w:val="0051370C"/>
    <w:rsid w:val="0051495D"/>
    <w:rsid w:val="00515059"/>
    <w:rsid w:val="00515AAF"/>
    <w:rsid w:val="00517166"/>
    <w:rsid w:val="0051757D"/>
    <w:rsid w:val="00517E1B"/>
    <w:rsid w:val="005204D0"/>
    <w:rsid w:val="00521A01"/>
    <w:rsid w:val="0052233B"/>
    <w:rsid w:val="005229AB"/>
    <w:rsid w:val="00524106"/>
    <w:rsid w:val="00524181"/>
    <w:rsid w:val="00524B18"/>
    <w:rsid w:val="00525251"/>
    <w:rsid w:val="00525B7B"/>
    <w:rsid w:val="00525E62"/>
    <w:rsid w:val="0053049B"/>
    <w:rsid w:val="005307BF"/>
    <w:rsid w:val="00532C18"/>
    <w:rsid w:val="00532E67"/>
    <w:rsid w:val="0053353D"/>
    <w:rsid w:val="00534485"/>
    <w:rsid w:val="005360EE"/>
    <w:rsid w:val="00536F4F"/>
    <w:rsid w:val="0053737B"/>
    <w:rsid w:val="00537AC3"/>
    <w:rsid w:val="00540283"/>
    <w:rsid w:val="00541ED9"/>
    <w:rsid w:val="0054258C"/>
    <w:rsid w:val="00542FA7"/>
    <w:rsid w:val="00543D36"/>
    <w:rsid w:val="00544581"/>
    <w:rsid w:val="00545065"/>
    <w:rsid w:val="005456D7"/>
    <w:rsid w:val="00546ADE"/>
    <w:rsid w:val="00547206"/>
    <w:rsid w:val="0055091C"/>
    <w:rsid w:val="00551B7F"/>
    <w:rsid w:val="00551F4F"/>
    <w:rsid w:val="00552CC4"/>
    <w:rsid w:val="00553757"/>
    <w:rsid w:val="005543A8"/>
    <w:rsid w:val="005549D2"/>
    <w:rsid w:val="00556A7A"/>
    <w:rsid w:val="00557D6C"/>
    <w:rsid w:val="0056103B"/>
    <w:rsid w:val="00561AB2"/>
    <w:rsid w:val="0056439D"/>
    <w:rsid w:val="005648C4"/>
    <w:rsid w:val="00565CE6"/>
    <w:rsid w:val="00567EE9"/>
    <w:rsid w:val="00570400"/>
    <w:rsid w:val="005706C1"/>
    <w:rsid w:val="00570C03"/>
    <w:rsid w:val="00570CF3"/>
    <w:rsid w:val="00571DB5"/>
    <w:rsid w:val="0057291C"/>
    <w:rsid w:val="00574C30"/>
    <w:rsid w:val="005768B2"/>
    <w:rsid w:val="00580AE8"/>
    <w:rsid w:val="00580BA4"/>
    <w:rsid w:val="00580C80"/>
    <w:rsid w:val="00580D2B"/>
    <w:rsid w:val="00582D4A"/>
    <w:rsid w:val="0058433B"/>
    <w:rsid w:val="005855ED"/>
    <w:rsid w:val="00586E8C"/>
    <w:rsid w:val="0059042E"/>
    <w:rsid w:val="00591027"/>
    <w:rsid w:val="005921FF"/>
    <w:rsid w:val="0059729C"/>
    <w:rsid w:val="005A02AC"/>
    <w:rsid w:val="005A1415"/>
    <w:rsid w:val="005A223D"/>
    <w:rsid w:val="005A31AE"/>
    <w:rsid w:val="005A7E92"/>
    <w:rsid w:val="005B09C0"/>
    <w:rsid w:val="005B0AA9"/>
    <w:rsid w:val="005B1B9E"/>
    <w:rsid w:val="005B33FF"/>
    <w:rsid w:val="005B4474"/>
    <w:rsid w:val="005B5433"/>
    <w:rsid w:val="005B5639"/>
    <w:rsid w:val="005B6B29"/>
    <w:rsid w:val="005B7780"/>
    <w:rsid w:val="005B7FAD"/>
    <w:rsid w:val="005C025E"/>
    <w:rsid w:val="005C08E7"/>
    <w:rsid w:val="005C0C19"/>
    <w:rsid w:val="005C26EA"/>
    <w:rsid w:val="005C2CC5"/>
    <w:rsid w:val="005C5D3D"/>
    <w:rsid w:val="005C6D84"/>
    <w:rsid w:val="005C6F31"/>
    <w:rsid w:val="005C779D"/>
    <w:rsid w:val="005D0CB1"/>
    <w:rsid w:val="005D14AF"/>
    <w:rsid w:val="005D192D"/>
    <w:rsid w:val="005D1B20"/>
    <w:rsid w:val="005D2401"/>
    <w:rsid w:val="005D2D14"/>
    <w:rsid w:val="005D482D"/>
    <w:rsid w:val="005D6B88"/>
    <w:rsid w:val="005D6E9E"/>
    <w:rsid w:val="005D72F1"/>
    <w:rsid w:val="005D7611"/>
    <w:rsid w:val="005E1830"/>
    <w:rsid w:val="005E1B2D"/>
    <w:rsid w:val="005E21AF"/>
    <w:rsid w:val="005E2D4E"/>
    <w:rsid w:val="005E2FA3"/>
    <w:rsid w:val="005E331E"/>
    <w:rsid w:val="005E383D"/>
    <w:rsid w:val="005E3F72"/>
    <w:rsid w:val="005E59BC"/>
    <w:rsid w:val="005E7506"/>
    <w:rsid w:val="005E7A9C"/>
    <w:rsid w:val="005F0556"/>
    <w:rsid w:val="005F16C5"/>
    <w:rsid w:val="005F1B26"/>
    <w:rsid w:val="005F4D9F"/>
    <w:rsid w:val="005F6166"/>
    <w:rsid w:val="0060052D"/>
    <w:rsid w:val="00601423"/>
    <w:rsid w:val="006017F9"/>
    <w:rsid w:val="00602A98"/>
    <w:rsid w:val="0060409F"/>
    <w:rsid w:val="00604BEC"/>
    <w:rsid w:val="00605545"/>
    <w:rsid w:val="006114E6"/>
    <w:rsid w:val="00613A98"/>
    <w:rsid w:val="006147CC"/>
    <w:rsid w:val="0061507E"/>
    <w:rsid w:val="00616506"/>
    <w:rsid w:val="00616F72"/>
    <w:rsid w:val="006177D3"/>
    <w:rsid w:val="00617DE3"/>
    <w:rsid w:val="00620866"/>
    <w:rsid w:val="006235B4"/>
    <w:rsid w:val="00625B9F"/>
    <w:rsid w:val="00627755"/>
    <w:rsid w:val="0062789A"/>
    <w:rsid w:val="00627E47"/>
    <w:rsid w:val="0063054F"/>
    <w:rsid w:val="006338B9"/>
    <w:rsid w:val="00633E3B"/>
    <w:rsid w:val="0063475F"/>
    <w:rsid w:val="00634C23"/>
    <w:rsid w:val="00635BAF"/>
    <w:rsid w:val="0063605B"/>
    <w:rsid w:val="006363F6"/>
    <w:rsid w:val="00636679"/>
    <w:rsid w:val="00636C4A"/>
    <w:rsid w:val="006372D3"/>
    <w:rsid w:val="006373AA"/>
    <w:rsid w:val="00637D14"/>
    <w:rsid w:val="00642938"/>
    <w:rsid w:val="00642AF5"/>
    <w:rsid w:val="00643294"/>
    <w:rsid w:val="006435E9"/>
    <w:rsid w:val="00643B77"/>
    <w:rsid w:val="00644233"/>
    <w:rsid w:val="006446D3"/>
    <w:rsid w:val="00644F4C"/>
    <w:rsid w:val="00646396"/>
    <w:rsid w:val="00647490"/>
    <w:rsid w:val="006477A8"/>
    <w:rsid w:val="00647843"/>
    <w:rsid w:val="006501F2"/>
    <w:rsid w:val="00651D81"/>
    <w:rsid w:val="006520E9"/>
    <w:rsid w:val="0065213D"/>
    <w:rsid w:val="00653BD6"/>
    <w:rsid w:val="00653FA6"/>
    <w:rsid w:val="00655676"/>
    <w:rsid w:val="00657739"/>
    <w:rsid w:val="0066076E"/>
    <w:rsid w:val="0066082B"/>
    <w:rsid w:val="0066436A"/>
    <w:rsid w:val="00665EE3"/>
    <w:rsid w:val="006718C0"/>
    <w:rsid w:val="00671995"/>
    <w:rsid w:val="00671E5D"/>
    <w:rsid w:val="00672721"/>
    <w:rsid w:val="0067342E"/>
    <w:rsid w:val="00674104"/>
    <w:rsid w:val="00674AB7"/>
    <w:rsid w:val="00675044"/>
    <w:rsid w:val="00680588"/>
    <w:rsid w:val="0068287B"/>
    <w:rsid w:val="006829DF"/>
    <w:rsid w:val="00682A81"/>
    <w:rsid w:val="0068303E"/>
    <w:rsid w:val="00683653"/>
    <w:rsid w:val="0068585C"/>
    <w:rsid w:val="00685F03"/>
    <w:rsid w:val="006867F3"/>
    <w:rsid w:val="00686870"/>
    <w:rsid w:val="00693A75"/>
    <w:rsid w:val="006941A9"/>
    <w:rsid w:val="00694BBB"/>
    <w:rsid w:val="00695363"/>
    <w:rsid w:val="006965E5"/>
    <w:rsid w:val="00697FA4"/>
    <w:rsid w:val="006A0E89"/>
    <w:rsid w:val="006A15BE"/>
    <w:rsid w:val="006A2985"/>
    <w:rsid w:val="006A33C1"/>
    <w:rsid w:val="006A391C"/>
    <w:rsid w:val="006A3A3B"/>
    <w:rsid w:val="006B13DB"/>
    <w:rsid w:val="006B2405"/>
    <w:rsid w:val="006B2C27"/>
    <w:rsid w:val="006B5C50"/>
    <w:rsid w:val="006B6298"/>
    <w:rsid w:val="006B693A"/>
    <w:rsid w:val="006B6D2E"/>
    <w:rsid w:val="006B7DBA"/>
    <w:rsid w:val="006C0461"/>
    <w:rsid w:val="006C097A"/>
    <w:rsid w:val="006C0B31"/>
    <w:rsid w:val="006C1293"/>
    <w:rsid w:val="006C3140"/>
    <w:rsid w:val="006C4AD0"/>
    <w:rsid w:val="006C4E36"/>
    <w:rsid w:val="006C54F8"/>
    <w:rsid w:val="006C6577"/>
    <w:rsid w:val="006C6B13"/>
    <w:rsid w:val="006C6B66"/>
    <w:rsid w:val="006C71B5"/>
    <w:rsid w:val="006D1B8F"/>
    <w:rsid w:val="006D236B"/>
    <w:rsid w:val="006D2DC8"/>
    <w:rsid w:val="006D351B"/>
    <w:rsid w:val="006D3831"/>
    <w:rsid w:val="006D395D"/>
    <w:rsid w:val="006D3C71"/>
    <w:rsid w:val="006D54D1"/>
    <w:rsid w:val="006D64BB"/>
    <w:rsid w:val="006D74C3"/>
    <w:rsid w:val="006D7C0D"/>
    <w:rsid w:val="006E0DBB"/>
    <w:rsid w:val="006E264C"/>
    <w:rsid w:val="006E38AE"/>
    <w:rsid w:val="006E62EA"/>
    <w:rsid w:val="006E6415"/>
    <w:rsid w:val="006F1B98"/>
    <w:rsid w:val="006F2FD2"/>
    <w:rsid w:val="006F43B2"/>
    <w:rsid w:val="006F6B8E"/>
    <w:rsid w:val="006F73A7"/>
    <w:rsid w:val="006F78BE"/>
    <w:rsid w:val="006F7CEF"/>
    <w:rsid w:val="007019D1"/>
    <w:rsid w:val="00702001"/>
    <w:rsid w:val="00703116"/>
    <w:rsid w:val="00703126"/>
    <w:rsid w:val="00703E4D"/>
    <w:rsid w:val="007054DC"/>
    <w:rsid w:val="00706A40"/>
    <w:rsid w:val="00706AFF"/>
    <w:rsid w:val="00710632"/>
    <w:rsid w:val="0071077B"/>
    <w:rsid w:val="0071167A"/>
    <w:rsid w:val="007129C4"/>
    <w:rsid w:val="00712B5F"/>
    <w:rsid w:val="00713787"/>
    <w:rsid w:val="00713832"/>
    <w:rsid w:val="007146F7"/>
    <w:rsid w:val="00714DD1"/>
    <w:rsid w:val="007177FD"/>
    <w:rsid w:val="0072051F"/>
    <w:rsid w:val="00721521"/>
    <w:rsid w:val="00722AC4"/>
    <w:rsid w:val="00722D52"/>
    <w:rsid w:val="00723D1B"/>
    <w:rsid w:val="0072520B"/>
    <w:rsid w:val="00725779"/>
    <w:rsid w:val="00726482"/>
    <w:rsid w:val="00726C11"/>
    <w:rsid w:val="0073017A"/>
    <w:rsid w:val="00733389"/>
    <w:rsid w:val="00733F13"/>
    <w:rsid w:val="00734E26"/>
    <w:rsid w:val="007364A5"/>
    <w:rsid w:val="0073713F"/>
    <w:rsid w:val="007374E6"/>
    <w:rsid w:val="007375C3"/>
    <w:rsid w:val="00737E94"/>
    <w:rsid w:val="007415C0"/>
    <w:rsid w:val="00742338"/>
    <w:rsid w:val="00742D7E"/>
    <w:rsid w:val="007478C1"/>
    <w:rsid w:val="00751A52"/>
    <w:rsid w:val="007534AA"/>
    <w:rsid w:val="00753B6B"/>
    <w:rsid w:val="00754B6B"/>
    <w:rsid w:val="00754CD6"/>
    <w:rsid w:val="007570B9"/>
    <w:rsid w:val="007604B5"/>
    <w:rsid w:val="00760654"/>
    <w:rsid w:val="00760AD3"/>
    <w:rsid w:val="00762C71"/>
    <w:rsid w:val="00762CB3"/>
    <w:rsid w:val="00763D3A"/>
    <w:rsid w:val="007650FE"/>
    <w:rsid w:val="00766BB9"/>
    <w:rsid w:val="00767C36"/>
    <w:rsid w:val="0077147E"/>
    <w:rsid w:val="00771BC5"/>
    <w:rsid w:val="00771CDF"/>
    <w:rsid w:val="00771D8D"/>
    <w:rsid w:val="00772BF6"/>
    <w:rsid w:val="00776436"/>
    <w:rsid w:val="007767DF"/>
    <w:rsid w:val="007775B9"/>
    <w:rsid w:val="007806C1"/>
    <w:rsid w:val="00782099"/>
    <w:rsid w:val="007846EB"/>
    <w:rsid w:val="00785B83"/>
    <w:rsid w:val="0078616D"/>
    <w:rsid w:val="0078690B"/>
    <w:rsid w:val="00791011"/>
    <w:rsid w:val="0079276F"/>
    <w:rsid w:val="00793609"/>
    <w:rsid w:val="0079370F"/>
    <w:rsid w:val="007938BE"/>
    <w:rsid w:val="00794D7E"/>
    <w:rsid w:val="00796852"/>
    <w:rsid w:val="00797018"/>
    <w:rsid w:val="007A3161"/>
    <w:rsid w:val="007A3D4F"/>
    <w:rsid w:val="007A43D7"/>
    <w:rsid w:val="007A46FF"/>
    <w:rsid w:val="007A496B"/>
    <w:rsid w:val="007A7E05"/>
    <w:rsid w:val="007B24D5"/>
    <w:rsid w:val="007B36F8"/>
    <w:rsid w:val="007B3F05"/>
    <w:rsid w:val="007B460D"/>
    <w:rsid w:val="007B4AF8"/>
    <w:rsid w:val="007B5C2B"/>
    <w:rsid w:val="007C2162"/>
    <w:rsid w:val="007C3305"/>
    <w:rsid w:val="007C376F"/>
    <w:rsid w:val="007C4B89"/>
    <w:rsid w:val="007C6872"/>
    <w:rsid w:val="007C6E9E"/>
    <w:rsid w:val="007C727A"/>
    <w:rsid w:val="007D001E"/>
    <w:rsid w:val="007D09CF"/>
    <w:rsid w:val="007D0B92"/>
    <w:rsid w:val="007D12F1"/>
    <w:rsid w:val="007D2F49"/>
    <w:rsid w:val="007D4B0C"/>
    <w:rsid w:val="007D4ECF"/>
    <w:rsid w:val="007D71BC"/>
    <w:rsid w:val="007D7D6B"/>
    <w:rsid w:val="007E2A91"/>
    <w:rsid w:val="007E2B44"/>
    <w:rsid w:val="007E332A"/>
    <w:rsid w:val="007E341F"/>
    <w:rsid w:val="007E38AB"/>
    <w:rsid w:val="007E4161"/>
    <w:rsid w:val="007E5923"/>
    <w:rsid w:val="007E5E75"/>
    <w:rsid w:val="007E60B6"/>
    <w:rsid w:val="007E66EB"/>
    <w:rsid w:val="007E6D43"/>
    <w:rsid w:val="007E78CA"/>
    <w:rsid w:val="007E7E64"/>
    <w:rsid w:val="007F0433"/>
    <w:rsid w:val="007F054F"/>
    <w:rsid w:val="007F0632"/>
    <w:rsid w:val="007F1143"/>
    <w:rsid w:val="007F1445"/>
    <w:rsid w:val="007F1C45"/>
    <w:rsid w:val="007F23C4"/>
    <w:rsid w:val="007F29AC"/>
    <w:rsid w:val="007F2D4C"/>
    <w:rsid w:val="007F342B"/>
    <w:rsid w:val="007F37D4"/>
    <w:rsid w:val="007F3BC2"/>
    <w:rsid w:val="007F6050"/>
    <w:rsid w:val="007F60C1"/>
    <w:rsid w:val="007F6E6F"/>
    <w:rsid w:val="007F7A45"/>
    <w:rsid w:val="00800728"/>
    <w:rsid w:val="00802825"/>
    <w:rsid w:val="0080354B"/>
    <w:rsid w:val="00804069"/>
    <w:rsid w:val="00804DE0"/>
    <w:rsid w:val="00810406"/>
    <w:rsid w:val="00810733"/>
    <w:rsid w:val="008119E2"/>
    <w:rsid w:val="00812A19"/>
    <w:rsid w:val="00815844"/>
    <w:rsid w:val="00816D8B"/>
    <w:rsid w:val="00817390"/>
    <w:rsid w:val="00830E44"/>
    <w:rsid w:val="00834B89"/>
    <w:rsid w:val="00834FF1"/>
    <w:rsid w:val="008353BF"/>
    <w:rsid w:val="008365EB"/>
    <w:rsid w:val="0083788B"/>
    <w:rsid w:val="0084042A"/>
    <w:rsid w:val="0084316E"/>
    <w:rsid w:val="008441ED"/>
    <w:rsid w:val="0084459E"/>
    <w:rsid w:val="00844FEA"/>
    <w:rsid w:val="00846F02"/>
    <w:rsid w:val="00847367"/>
    <w:rsid w:val="008477C4"/>
    <w:rsid w:val="008516CF"/>
    <w:rsid w:val="0085219F"/>
    <w:rsid w:val="0085307E"/>
    <w:rsid w:val="008553E4"/>
    <w:rsid w:val="008558C0"/>
    <w:rsid w:val="00856064"/>
    <w:rsid w:val="0086053F"/>
    <w:rsid w:val="00860CA3"/>
    <w:rsid w:val="0086224C"/>
    <w:rsid w:val="00863A40"/>
    <w:rsid w:val="00863E8D"/>
    <w:rsid w:val="00865C9F"/>
    <w:rsid w:val="00866072"/>
    <w:rsid w:val="00866431"/>
    <w:rsid w:val="00867EE2"/>
    <w:rsid w:val="00870E99"/>
    <w:rsid w:val="00871D9A"/>
    <w:rsid w:val="00872676"/>
    <w:rsid w:val="00873059"/>
    <w:rsid w:val="00875425"/>
    <w:rsid w:val="00875B90"/>
    <w:rsid w:val="0087718A"/>
    <w:rsid w:val="00877CC8"/>
    <w:rsid w:val="00881013"/>
    <w:rsid w:val="008836DF"/>
    <w:rsid w:val="00885B45"/>
    <w:rsid w:val="00886B0C"/>
    <w:rsid w:val="00886F34"/>
    <w:rsid w:val="00892A43"/>
    <w:rsid w:val="008932BF"/>
    <w:rsid w:val="00895A71"/>
    <w:rsid w:val="00897119"/>
    <w:rsid w:val="0089712E"/>
    <w:rsid w:val="00897E3A"/>
    <w:rsid w:val="008A0213"/>
    <w:rsid w:val="008A0E16"/>
    <w:rsid w:val="008A1351"/>
    <w:rsid w:val="008A30AD"/>
    <w:rsid w:val="008A31C6"/>
    <w:rsid w:val="008A3C98"/>
    <w:rsid w:val="008A6397"/>
    <w:rsid w:val="008A63B8"/>
    <w:rsid w:val="008A7B51"/>
    <w:rsid w:val="008B0D1A"/>
    <w:rsid w:val="008B13C7"/>
    <w:rsid w:val="008B3162"/>
    <w:rsid w:val="008B36C0"/>
    <w:rsid w:val="008B4481"/>
    <w:rsid w:val="008B7BF7"/>
    <w:rsid w:val="008C1077"/>
    <w:rsid w:val="008C3ADC"/>
    <w:rsid w:val="008C4237"/>
    <w:rsid w:val="008C4CED"/>
    <w:rsid w:val="008C5E24"/>
    <w:rsid w:val="008C6331"/>
    <w:rsid w:val="008C668B"/>
    <w:rsid w:val="008C7CA6"/>
    <w:rsid w:val="008C7DF4"/>
    <w:rsid w:val="008C7E71"/>
    <w:rsid w:val="008D10BB"/>
    <w:rsid w:val="008D13C9"/>
    <w:rsid w:val="008D1FCF"/>
    <w:rsid w:val="008D350F"/>
    <w:rsid w:val="008D4907"/>
    <w:rsid w:val="008D5EC0"/>
    <w:rsid w:val="008D7220"/>
    <w:rsid w:val="008D73D8"/>
    <w:rsid w:val="008E0C11"/>
    <w:rsid w:val="008E14E7"/>
    <w:rsid w:val="008E172D"/>
    <w:rsid w:val="008E3735"/>
    <w:rsid w:val="008E3DE7"/>
    <w:rsid w:val="008E58A5"/>
    <w:rsid w:val="008E7B5C"/>
    <w:rsid w:val="008F1693"/>
    <w:rsid w:val="008F1930"/>
    <w:rsid w:val="008F1C7D"/>
    <w:rsid w:val="008F2AB5"/>
    <w:rsid w:val="008F66EE"/>
    <w:rsid w:val="008F72F7"/>
    <w:rsid w:val="008F7C7B"/>
    <w:rsid w:val="0090397C"/>
    <w:rsid w:val="00904054"/>
    <w:rsid w:val="00907B1E"/>
    <w:rsid w:val="0091382F"/>
    <w:rsid w:val="00913A13"/>
    <w:rsid w:val="009143A7"/>
    <w:rsid w:val="009152FE"/>
    <w:rsid w:val="009173C0"/>
    <w:rsid w:val="00917F07"/>
    <w:rsid w:val="0092060B"/>
    <w:rsid w:val="00920AAC"/>
    <w:rsid w:val="009229CC"/>
    <w:rsid w:val="00923764"/>
    <w:rsid w:val="00924507"/>
    <w:rsid w:val="00924801"/>
    <w:rsid w:val="00924C1D"/>
    <w:rsid w:val="00926C02"/>
    <w:rsid w:val="00930607"/>
    <w:rsid w:val="00937B80"/>
    <w:rsid w:val="0094166E"/>
    <w:rsid w:val="00941EE1"/>
    <w:rsid w:val="00942C0E"/>
    <w:rsid w:val="0094459F"/>
    <w:rsid w:val="00945635"/>
    <w:rsid w:val="00945765"/>
    <w:rsid w:val="009479F3"/>
    <w:rsid w:val="00947A6D"/>
    <w:rsid w:val="00950C54"/>
    <w:rsid w:val="009513F5"/>
    <w:rsid w:val="00955DEB"/>
    <w:rsid w:val="00955EE1"/>
    <w:rsid w:val="00957158"/>
    <w:rsid w:val="00960391"/>
    <w:rsid w:val="009617CB"/>
    <w:rsid w:val="0096303D"/>
    <w:rsid w:val="009630E4"/>
    <w:rsid w:val="00963437"/>
    <w:rsid w:val="00963F61"/>
    <w:rsid w:val="00964933"/>
    <w:rsid w:val="00964EE6"/>
    <w:rsid w:val="0096584C"/>
    <w:rsid w:val="00965B6F"/>
    <w:rsid w:val="00965C0C"/>
    <w:rsid w:val="00965E57"/>
    <w:rsid w:val="00966345"/>
    <w:rsid w:val="00967F87"/>
    <w:rsid w:val="00970ED6"/>
    <w:rsid w:val="009711B7"/>
    <w:rsid w:val="0097236E"/>
    <w:rsid w:val="00974DC1"/>
    <w:rsid w:val="00977081"/>
    <w:rsid w:val="00977769"/>
    <w:rsid w:val="0098080B"/>
    <w:rsid w:val="00980D60"/>
    <w:rsid w:val="00981195"/>
    <w:rsid w:val="00981C24"/>
    <w:rsid w:val="0098276D"/>
    <w:rsid w:val="00983F26"/>
    <w:rsid w:val="0098405E"/>
    <w:rsid w:val="0098450D"/>
    <w:rsid w:val="0098535D"/>
    <w:rsid w:val="00986BC6"/>
    <w:rsid w:val="00987143"/>
    <w:rsid w:val="009877C6"/>
    <w:rsid w:val="00992E6F"/>
    <w:rsid w:val="009930FA"/>
    <w:rsid w:val="009946CD"/>
    <w:rsid w:val="00995160"/>
    <w:rsid w:val="0099683C"/>
    <w:rsid w:val="009A00CB"/>
    <w:rsid w:val="009A0F34"/>
    <w:rsid w:val="009A2DA2"/>
    <w:rsid w:val="009B12A1"/>
    <w:rsid w:val="009B2277"/>
    <w:rsid w:val="009B274F"/>
    <w:rsid w:val="009B2CCE"/>
    <w:rsid w:val="009B4B09"/>
    <w:rsid w:val="009B5474"/>
    <w:rsid w:val="009B7CB7"/>
    <w:rsid w:val="009B7EFB"/>
    <w:rsid w:val="009C0297"/>
    <w:rsid w:val="009C2A10"/>
    <w:rsid w:val="009C2F1A"/>
    <w:rsid w:val="009C42BC"/>
    <w:rsid w:val="009C4E5D"/>
    <w:rsid w:val="009C57A5"/>
    <w:rsid w:val="009D1063"/>
    <w:rsid w:val="009D1254"/>
    <w:rsid w:val="009D14EE"/>
    <w:rsid w:val="009D26BC"/>
    <w:rsid w:val="009D30C0"/>
    <w:rsid w:val="009D38D9"/>
    <w:rsid w:val="009D421C"/>
    <w:rsid w:val="009D4FDB"/>
    <w:rsid w:val="009D7C88"/>
    <w:rsid w:val="009D7FC0"/>
    <w:rsid w:val="009E088B"/>
    <w:rsid w:val="009E0A0B"/>
    <w:rsid w:val="009E0E76"/>
    <w:rsid w:val="009E2147"/>
    <w:rsid w:val="009E2914"/>
    <w:rsid w:val="009E2C35"/>
    <w:rsid w:val="009E44D1"/>
    <w:rsid w:val="009E57CF"/>
    <w:rsid w:val="009E739C"/>
    <w:rsid w:val="009F0370"/>
    <w:rsid w:val="009F0DB6"/>
    <w:rsid w:val="009F1B2E"/>
    <w:rsid w:val="009F3124"/>
    <w:rsid w:val="009F44E5"/>
    <w:rsid w:val="009F6A13"/>
    <w:rsid w:val="009F7DF3"/>
    <w:rsid w:val="00A001B5"/>
    <w:rsid w:val="00A01C3F"/>
    <w:rsid w:val="00A050CB"/>
    <w:rsid w:val="00A05689"/>
    <w:rsid w:val="00A10CE2"/>
    <w:rsid w:val="00A11130"/>
    <w:rsid w:val="00A11D8C"/>
    <w:rsid w:val="00A11E23"/>
    <w:rsid w:val="00A138BA"/>
    <w:rsid w:val="00A139D0"/>
    <w:rsid w:val="00A14846"/>
    <w:rsid w:val="00A16065"/>
    <w:rsid w:val="00A170F8"/>
    <w:rsid w:val="00A2255D"/>
    <w:rsid w:val="00A24E88"/>
    <w:rsid w:val="00A266F1"/>
    <w:rsid w:val="00A27CA9"/>
    <w:rsid w:val="00A305A7"/>
    <w:rsid w:val="00A34CDF"/>
    <w:rsid w:val="00A35798"/>
    <w:rsid w:val="00A35A10"/>
    <w:rsid w:val="00A35EC6"/>
    <w:rsid w:val="00A36739"/>
    <w:rsid w:val="00A36EA4"/>
    <w:rsid w:val="00A3760E"/>
    <w:rsid w:val="00A4075D"/>
    <w:rsid w:val="00A43491"/>
    <w:rsid w:val="00A44503"/>
    <w:rsid w:val="00A475B4"/>
    <w:rsid w:val="00A5164D"/>
    <w:rsid w:val="00A5182C"/>
    <w:rsid w:val="00A51CC3"/>
    <w:rsid w:val="00A51E53"/>
    <w:rsid w:val="00A524BB"/>
    <w:rsid w:val="00A53335"/>
    <w:rsid w:val="00A5347D"/>
    <w:rsid w:val="00A53F53"/>
    <w:rsid w:val="00A55343"/>
    <w:rsid w:val="00A56262"/>
    <w:rsid w:val="00A56A47"/>
    <w:rsid w:val="00A57338"/>
    <w:rsid w:val="00A57C0F"/>
    <w:rsid w:val="00A60416"/>
    <w:rsid w:val="00A616A8"/>
    <w:rsid w:val="00A61D3B"/>
    <w:rsid w:val="00A61D71"/>
    <w:rsid w:val="00A63102"/>
    <w:rsid w:val="00A6340F"/>
    <w:rsid w:val="00A63928"/>
    <w:rsid w:val="00A64279"/>
    <w:rsid w:val="00A654F7"/>
    <w:rsid w:val="00A656F6"/>
    <w:rsid w:val="00A66CF5"/>
    <w:rsid w:val="00A70C03"/>
    <w:rsid w:val="00A7361B"/>
    <w:rsid w:val="00A73E32"/>
    <w:rsid w:val="00A742E8"/>
    <w:rsid w:val="00A76001"/>
    <w:rsid w:val="00A76296"/>
    <w:rsid w:val="00A7684E"/>
    <w:rsid w:val="00A81556"/>
    <w:rsid w:val="00A8174F"/>
    <w:rsid w:val="00A81FEF"/>
    <w:rsid w:val="00A8274B"/>
    <w:rsid w:val="00A82BEE"/>
    <w:rsid w:val="00A83267"/>
    <w:rsid w:val="00A83814"/>
    <w:rsid w:val="00A83830"/>
    <w:rsid w:val="00A852D4"/>
    <w:rsid w:val="00A876E8"/>
    <w:rsid w:val="00A90291"/>
    <w:rsid w:val="00A90942"/>
    <w:rsid w:val="00A90F0D"/>
    <w:rsid w:val="00A918CB"/>
    <w:rsid w:val="00A92595"/>
    <w:rsid w:val="00A940DA"/>
    <w:rsid w:val="00A95842"/>
    <w:rsid w:val="00A959AC"/>
    <w:rsid w:val="00AA0776"/>
    <w:rsid w:val="00AA16AA"/>
    <w:rsid w:val="00AA2C28"/>
    <w:rsid w:val="00AA2F89"/>
    <w:rsid w:val="00AA5F2B"/>
    <w:rsid w:val="00AA63C5"/>
    <w:rsid w:val="00AA687E"/>
    <w:rsid w:val="00AA6A0A"/>
    <w:rsid w:val="00AB0D75"/>
    <w:rsid w:val="00AB1061"/>
    <w:rsid w:val="00AB1FA1"/>
    <w:rsid w:val="00AB203B"/>
    <w:rsid w:val="00AB20FA"/>
    <w:rsid w:val="00AB4016"/>
    <w:rsid w:val="00AB4B2F"/>
    <w:rsid w:val="00AB5457"/>
    <w:rsid w:val="00AB64D0"/>
    <w:rsid w:val="00AB7C49"/>
    <w:rsid w:val="00AC09ED"/>
    <w:rsid w:val="00AC41D6"/>
    <w:rsid w:val="00AC4391"/>
    <w:rsid w:val="00AC44C2"/>
    <w:rsid w:val="00AC50BD"/>
    <w:rsid w:val="00AC525B"/>
    <w:rsid w:val="00AC76C7"/>
    <w:rsid w:val="00AC7946"/>
    <w:rsid w:val="00AD0481"/>
    <w:rsid w:val="00AD135F"/>
    <w:rsid w:val="00AD15FC"/>
    <w:rsid w:val="00AD1B35"/>
    <w:rsid w:val="00AD20D0"/>
    <w:rsid w:val="00AD258F"/>
    <w:rsid w:val="00AD30AE"/>
    <w:rsid w:val="00AD311C"/>
    <w:rsid w:val="00AD43A7"/>
    <w:rsid w:val="00AE0116"/>
    <w:rsid w:val="00AE0A6C"/>
    <w:rsid w:val="00AE33EF"/>
    <w:rsid w:val="00AE37AB"/>
    <w:rsid w:val="00AE408E"/>
    <w:rsid w:val="00AE59CF"/>
    <w:rsid w:val="00AE5A48"/>
    <w:rsid w:val="00AE613F"/>
    <w:rsid w:val="00AE6576"/>
    <w:rsid w:val="00AF1CEC"/>
    <w:rsid w:val="00AF39A8"/>
    <w:rsid w:val="00AF75E8"/>
    <w:rsid w:val="00AF763D"/>
    <w:rsid w:val="00B00511"/>
    <w:rsid w:val="00B007BD"/>
    <w:rsid w:val="00B01745"/>
    <w:rsid w:val="00B01FE0"/>
    <w:rsid w:val="00B023F2"/>
    <w:rsid w:val="00B02DB7"/>
    <w:rsid w:val="00B04EB6"/>
    <w:rsid w:val="00B050E4"/>
    <w:rsid w:val="00B05961"/>
    <w:rsid w:val="00B05E63"/>
    <w:rsid w:val="00B0622B"/>
    <w:rsid w:val="00B11650"/>
    <w:rsid w:val="00B11F91"/>
    <w:rsid w:val="00B120F0"/>
    <w:rsid w:val="00B1260C"/>
    <w:rsid w:val="00B12F60"/>
    <w:rsid w:val="00B13A45"/>
    <w:rsid w:val="00B141EF"/>
    <w:rsid w:val="00B152F9"/>
    <w:rsid w:val="00B1537F"/>
    <w:rsid w:val="00B16141"/>
    <w:rsid w:val="00B170C3"/>
    <w:rsid w:val="00B17B5C"/>
    <w:rsid w:val="00B17C4F"/>
    <w:rsid w:val="00B22B7F"/>
    <w:rsid w:val="00B23070"/>
    <w:rsid w:val="00B232F7"/>
    <w:rsid w:val="00B23EBF"/>
    <w:rsid w:val="00B279D9"/>
    <w:rsid w:val="00B30027"/>
    <w:rsid w:val="00B322B6"/>
    <w:rsid w:val="00B33A8D"/>
    <w:rsid w:val="00B37008"/>
    <w:rsid w:val="00B40E65"/>
    <w:rsid w:val="00B4335C"/>
    <w:rsid w:val="00B46685"/>
    <w:rsid w:val="00B47E2B"/>
    <w:rsid w:val="00B47FA8"/>
    <w:rsid w:val="00B5221E"/>
    <w:rsid w:val="00B52A02"/>
    <w:rsid w:val="00B56144"/>
    <w:rsid w:val="00B62CF1"/>
    <w:rsid w:val="00B64BC4"/>
    <w:rsid w:val="00B6598B"/>
    <w:rsid w:val="00B659E5"/>
    <w:rsid w:val="00B66006"/>
    <w:rsid w:val="00B67FE5"/>
    <w:rsid w:val="00B70B4A"/>
    <w:rsid w:val="00B724C8"/>
    <w:rsid w:val="00B74A4C"/>
    <w:rsid w:val="00B82AFB"/>
    <w:rsid w:val="00B84C84"/>
    <w:rsid w:val="00B852EF"/>
    <w:rsid w:val="00B863F6"/>
    <w:rsid w:val="00B910BA"/>
    <w:rsid w:val="00B9110E"/>
    <w:rsid w:val="00B9166A"/>
    <w:rsid w:val="00B94906"/>
    <w:rsid w:val="00B94B64"/>
    <w:rsid w:val="00B94F5F"/>
    <w:rsid w:val="00B95A44"/>
    <w:rsid w:val="00B97C19"/>
    <w:rsid w:val="00BA156D"/>
    <w:rsid w:val="00BA1EAA"/>
    <w:rsid w:val="00BA24F7"/>
    <w:rsid w:val="00BA3356"/>
    <w:rsid w:val="00BA34FC"/>
    <w:rsid w:val="00BA4008"/>
    <w:rsid w:val="00BA448F"/>
    <w:rsid w:val="00BA5B0A"/>
    <w:rsid w:val="00BA61A4"/>
    <w:rsid w:val="00BA6752"/>
    <w:rsid w:val="00BA7210"/>
    <w:rsid w:val="00BA7F32"/>
    <w:rsid w:val="00BB0403"/>
    <w:rsid w:val="00BB21BB"/>
    <w:rsid w:val="00BB26DD"/>
    <w:rsid w:val="00BB440B"/>
    <w:rsid w:val="00BB44D6"/>
    <w:rsid w:val="00BB45DC"/>
    <w:rsid w:val="00BB52F2"/>
    <w:rsid w:val="00BB71DC"/>
    <w:rsid w:val="00BB7271"/>
    <w:rsid w:val="00BB7EF2"/>
    <w:rsid w:val="00BB7FC9"/>
    <w:rsid w:val="00BC0ED4"/>
    <w:rsid w:val="00BC16A1"/>
    <w:rsid w:val="00BC215F"/>
    <w:rsid w:val="00BD1589"/>
    <w:rsid w:val="00BD170B"/>
    <w:rsid w:val="00BD1F6E"/>
    <w:rsid w:val="00BD229E"/>
    <w:rsid w:val="00BD39AE"/>
    <w:rsid w:val="00BD3B90"/>
    <w:rsid w:val="00BD4EF5"/>
    <w:rsid w:val="00BD4F3B"/>
    <w:rsid w:val="00BD59D5"/>
    <w:rsid w:val="00BD6C03"/>
    <w:rsid w:val="00BE011A"/>
    <w:rsid w:val="00BE1747"/>
    <w:rsid w:val="00BE179E"/>
    <w:rsid w:val="00BE1A77"/>
    <w:rsid w:val="00BE2290"/>
    <w:rsid w:val="00BE3A26"/>
    <w:rsid w:val="00BF057A"/>
    <w:rsid w:val="00BF258C"/>
    <w:rsid w:val="00BF4C29"/>
    <w:rsid w:val="00BF5B84"/>
    <w:rsid w:val="00BF776A"/>
    <w:rsid w:val="00C02F15"/>
    <w:rsid w:val="00C0455D"/>
    <w:rsid w:val="00C049EC"/>
    <w:rsid w:val="00C04B74"/>
    <w:rsid w:val="00C05045"/>
    <w:rsid w:val="00C0588C"/>
    <w:rsid w:val="00C07A20"/>
    <w:rsid w:val="00C11A6E"/>
    <w:rsid w:val="00C11FC6"/>
    <w:rsid w:val="00C1200B"/>
    <w:rsid w:val="00C13895"/>
    <w:rsid w:val="00C13D06"/>
    <w:rsid w:val="00C13E69"/>
    <w:rsid w:val="00C169AD"/>
    <w:rsid w:val="00C1748A"/>
    <w:rsid w:val="00C17ADB"/>
    <w:rsid w:val="00C22A13"/>
    <w:rsid w:val="00C2390B"/>
    <w:rsid w:val="00C2480C"/>
    <w:rsid w:val="00C26B50"/>
    <w:rsid w:val="00C30488"/>
    <w:rsid w:val="00C3103A"/>
    <w:rsid w:val="00C3135C"/>
    <w:rsid w:val="00C3166A"/>
    <w:rsid w:val="00C3306E"/>
    <w:rsid w:val="00C33681"/>
    <w:rsid w:val="00C33880"/>
    <w:rsid w:val="00C345EB"/>
    <w:rsid w:val="00C352C0"/>
    <w:rsid w:val="00C355BD"/>
    <w:rsid w:val="00C37019"/>
    <w:rsid w:val="00C3709A"/>
    <w:rsid w:val="00C37FED"/>
    <w:rsid w:val="00C40789"/>
    <w:rsid w:val="00C42C83"/>
    <w:rsid w:val="00C43903"/>
    <w:rsid w:val="00C44675"/>
    <w:rsid w:val="00C453FB"/>
    <w:rsid w:val="00C45760"/>
    <w:rsid w:val="00C45772"/>
    <w:rsid w:val="00C45EA7"/>
    <w:rsid w:val="00C47688"/>
    <w:rsid w:val="00C506F5"/>
    <w:rsid w:val="00C50829"/>
    <w:rsid w:val="00C509B1"/>
    <w:rsid w:val="00C518C8"/>
    <w:rsid w:val="00C52544"/>
    <w:rsid w:val="00C52BE0"/>
    <w:rsid w:val="00C53300"/>
    <w:rsid w:val="00C537CE"/>
    <w:rsid w:val="00C5424A"/>
    <w:rsid w:val="00C55F54"/>
    <w:rsid w:val="00C5749B"/>
    <w:rsid w:val="00C60165"/>
    <w:rsid w:val="00C60B5C"/>
    <w:rsid w:val="00C61E43"/>
    <w:rsid w:val="00C62920"/>
    <w:rsid w:val="00C64377"/>
    <w:rsid w:val="00C648E2"/>
    <w:rsid w:val="00C67195"/>
    <w:rsid w:val="00C6730C"/>
    <w:rsid w:val="00C67E1B"/>
    <w:rsid w:val="00C70DCE"/>
    <w:rsid w:val="00C72996"/>
    <w:rsid w:val="00C72DFD"/>
    <w:rsid w:val="00C737AC"/>
    <w:rsid w:val="00C74A09"/>
    <w:rsid w:val="00C75059"/>
    <w:rsid w:val="00C75AB9"/>
    <w:rsid w:val="00C75BCC"/>
    <w:rsid w:val="00C767B1"/>
    <w:rsid w:val="00C80A4F"/>
    <w:rsid w:val="00C80D75"/>
    <w:rsid w:val="00C80E08"/>
    <w:rsid w:val="00C83A6F"/>
    <w:rsid w:val="00C83EC8"/>
    <w:rsid w:val="00C849C5"/>
    <w:rsid w:val="00C85961"/>
    <w:rsid w:val="00C859DB"/>
    <w:rsid w:val="00C85DCC"/>
    <w:rsid w:val="00C8639A"/>
    <w:rsid w:val="00C8761C"/>
    <w:rsid w:val="00C90944"/>
    <w:rsid w:val="00C90AFA"/>
    <w:rsid w:val="00C93A15"/>
    <w:rsid w:val="00C94060"/>
    <w:rsid w:val="00C94393"/>
    <w:rsid w:val="00C95644"/>
    <w:rsid w:val="00C96186"/>
    <w:rsid w:val="00C961DA"/>
    <w:rsid w:val="00C9653E"/>
    <w:rsid w:val="00CA028E"/>
    <w:rsid w:val="00CA1775"/>
    <w:rsid w:val="00CA3D5E"/>
    <w:rsid w:val="00CA3FD5"/>
    <w:rsid w:val="00CA64C6"/>
    <w:rsid w:val="00CA7D77"/>
    <w:rsid w:val="00CA7EC8"/>
    <w:rsid w:val="00CB01E8"/>
    <w:rsid w:val="00CB0417"/>
    <w:rsid w:val="00CB0FED"/>
    <w:rsid w:val="00CB22B2"/>
    <w:rsid w:val="00CB2CA1"/>
    <w:rsid w:val="00CB34D3"/>
    <w:rsid w:val="00CB3D33"/>
    <w:rsid w:val="00CB470D"/>
    <w:rsid w:val="00CB5052"/>
    <w:rsid w:val="00CB72AC"/>
    <w:rsid w:val="00CB7D43"/>
    <w:rsid w:val="00CB7DBB"/>
    <w:rsid w:val="00CC10DC"/>
    <w:rsid w:val="00CC2D8F"/>
    <w:rsid w:val="00CC2E11"/>
    <w:rsid w:val="00CC350D"/>
    <w:rsid w:val="00CC4FE4"/>
    <w:rsid w:val="00CD1371"/>
    <w:rsid w:val="00CD1E6A"/>
    <w:rsid w:val="00CD293D"/>
    <w:rsid w:val="00CD3107"/>
    <w:rsid w:val="00CD4ABE"/>
    <w:rsid w:val="00CD6338"/>
    <w:rsid w:val="00CD6823"/>
    <w:rsid w:val="00CD77BD"/>
    <w:rsid w:val="00CE0053"/>
    <w:rsid w:val="00CE0333"/>
    <w:rsid w:val="00CE0FD8"/>
    <w:rsid w:val="00CE236F"/>
    <w:rsid w:val="00CE32C6"/>
    <w:rsid w:val="00CE4F53"/>
    <w:rsid w:val="00CE5CA3"/>
    <w:rsid w:val="00CE6A0A"/>
    <w:rsid w:val="00CE6C60"/>
    <w:rsid w:val="00CE6D77"/>
    <w:rsid w:val="00CF214B"/>
    <w:rsid w:val="00CF3028"/>
    <w:rsid w:val="00CF329C"/>
    <w:rsid w:val="00CF3729"/>
    <w:rsid w:val="00CF3848"/>
    <w:rsid w:val="00CF385E"/>
    <w:rsid w:val="00CF4020"/>
    <w:rsid w:val="00D014F4"/>
    <w:rsid w:val="00D019FF"/>
    <w:rsid w:val="00D01FC4"/>
    <w:rsid w:val="00D04D60"/>
    <w:rsid w:val="00D0575B"/>
    <w:rsid w:val="00D1035E"/>
    <w:rsid w:val="00D105CD"/>
    <w:rsid w:val="00D1067E"/>
    <w:rsid w:val="00D17E10"/>
    <w:rsid w:val="00D21066"/>
    <w:rsid w:val="00D211CB"/>
    <w:rsid w:val="00D21515"/>
    <w:rsid w:val="00D273A1"/>
    <w:rsid w:val="00D276EF"/>
    <w:rsid w:val="00D327E5"/>
    <w:rsid w:val="00D33E44"/>
    <w:rsid w:val="00D35765"/>
    <w:rsid w:val="00D3617A"/>
    <w:rsid w:val="00D3650C"/>
    <w:rsid w:val="00D369B5"/>
    <w:rsid w:val="00D37162"/>
    <w:rsid w:val="00D37A65"/>
    <w:rsid w:val="00D407D3"/>
    <w:rsid w:val="00D42A73"/>
    <w:rsid w:val="00D43986"/>
    <w:rsid w:val="00D4417B"/>
    <w:rsid w:val="00D4484B"/>
    <w:rsid w:val="00D44C4A"/>
    <w:rsid w:val="00D460BC"/>
    <w:rsid w:val="00D46CDB"/>
    <w:rsid w:val="00D470CD"/>
    <w:rsid w:val="00D51720"/>
    <w:rsid w:val="00D528FA"/>
    <w:rsid w:val="00D531FE"/>
    <w:rsid w:val="00D55C6E"/>
    <w:rsid w:val="00D5606A"/>
    <w:rsid w:val="00D564A5"/>
    <w:rsid w:val="00D569A2"/>
    <w:rsid w:val="00D56F9E"/>
    <w:rsid w:val="00D579D9"/>
    <w:rsid w:val="00D57A94"/>
    <w:rsid w:val="00D604E4"/>
    <w:rsid w:val="00D6223B"/>
    <w:rsid w:val="00D63A8D"/>
    <w:rsid w:val="00D64617"/>
    <w:rsid w:val="00D651C5"/>
    <w:rsid w:val="00D6628D"/>
    <w:rsid w:val="00D6797F"/>
    <w:rsid w:val="00D7094A"/>
    <w:rsid w:val="00D73536"/>
    <w:rsid w:val="00D745CE"/>
    <w:rsid w:val="00D745D6"/>
    <w:rsid w:val="00D75BEA"/>
    <w:rsid w:val="00D76019"/>
    <w:rsid w:val="00D81677"/>
    <w:rsid w:val="00D827DA"/>
    <w:rsid w:val="00D834EC"/>
    <w:rsid w:val="00D83629"/>
    <w:rsid w:val="00D836D9"/>
    <w:rsid w:val="00D83FB5"/>
    <w:rsid w:val="00D84100"/>
    <w:rsid w:val="00D8507C"/>
    <w:rsid w:val="00D859F8"/>
    <w:rsid w:val="00D85B13"/>
    <w:rsid w:val="00D86C49"/>
    <w:rsid w:val="00D874B9"/>
    <w:rsid w:val="00D87EE3"/>
    <w:rsid w:val="00D90233"/>
    <w:rsid w:val="00D903BC"/>
    <w:rsid w:val="00D90EF1"/>
    <w:rsid w:val="00D913CD"/>
    <w:rsid w:val="00D9266E"/>
    <w:rsid w:val="00D9335B"/>
    <w:rsid w:val="00DA0BA5"/>
    <w:rsid w:val="00DA215D"/>
    <w:rsid w:val="00DA3149"/>
    <w:rsid w:val="00DA3F2D"/>
    <w:rsid w:val="00DA437C"/>
    <w:rsid w:val="00DA4588"/>
    <w:rsid w:val="00DA4CE3"/>
    <w:rsid w:val="00DA4D57"/>
    <w:rsid w:val="00DA5A7B"/>
    <w:rsid w:val="00DA5D6F"/>
    <w:rsid w:val="00DB1106"/>
    <w:rsid w:val="00DB192B"/>
    <w:rsid w:val="00DB1F4C"/>
    <w:rsid w:val="00DB21F9"/>
    <w:rsid w:val="00DB2529"/>
    <w:rsid w:val="00DB3EDE"/>
    <w:rsid w:val="00DB4316"/>
    <w:rsid w:val="00DB5109"/>
    <w:rsid w:val="00DB666B"/>
    <w:rsid w:val="00DC0652"/>
    <w:rsid w:val="00DC0F76"/>
    <w:rsid w:val="00DC1103"/>
    <w:rsid w:val="00DC1347"/>
    <w:rsid w:val="00DC1FB8"/>
    <w:rsid w:val="00DC2AF4"/>
    <w:rsid w:val="00DC334C"/>
    <w:rsid w:val="00DC4007"/>
    <w:rsid w:val="00DC4153"/>
    <w:rsid w:val="00DC46A8"/>
    <w:rsid w:val="00DC4C87"/>
    <w:rsid w:val="00DC538B"/>
    <w:rsid w:val="00DD01D6"/>
    <w:rsid w:val="00DD0C92"/>
    <w:rsid w:val="00DD1149"/>
    <w:rsid w:val="00DD12E9"/>
    <w:rsid w:val="00DD1720"/>
    <w:rsid w:val="00DD1B34"/>
    <w:rsid w:val="00DD2C4B"/>
    <w:rsid w:val="00DD2F7F"/>
    <w:rsid w:val="00DD6B76"/>
    <w:rsid w:val="00DE3867"/>
    <w:rsid w:val="00DE4B8F"/>
    <w:rsid w:val="00DE5734"/>
    <w:rsid w:val="00DE73F1"/>
    <w:rsid w:val="00DE76C8"/>
    <w:rsid w:val="00DE7BD0"/>
    <w:rsid w:val="00DE7D03"/>
    <w:rsid w:val="00DE7D35"/>
    <w:rsid w:val="00DF14C5"/>
    <w:rsid w:val="00DF44F5"/>
    <w:rsid w:val="00DF45C8"/>
    <w:rsid w:val="00DF6893"/>
    <w:rsid w:val="00DF73FD"/>
    <w:rsid w:val="00E01062"/>
    <w:rsid w:val="00E010FB"/>
    <w:rsid w:val="00E064DF"/>
    <w:rsid w:val="00E072D9"/>
    <w:rsid w:val="00E07687"/>
    <w:rsid w:val="00E10F3B"/>
    <w:rsid w:val="00E10FC6"/>
    <w:rsid w:val="00E1219B"/>
    <w:rsid w:val="00E138CF"/>
    <w:rsid w:val="00E13B27"/>
    <w:rsid w:val="00E1458A"/>
    <w:rsid w:val="00E16F92"/>
    <w:rsid w:val="00E17CD1"/>
    <w:rsid w:val="00E21316"/>
    <w:rsid w:val="00E21875"/>
    <w:rsid w:val="00E23A9D"/>
    <w:rsid w:val="00E2418B"/>
    <w:rsid w:val="00E24D66"/>
    <w:rsid w:val="00E24D90"/>
    <w:rsid w:val="00E258C6"/>
    <w:rsid w:val="00E25B5C"/>
    <w:rsid w:val="00E26824"/>
    <w:rsid w:val="00E31808"/>
    <w:rsid w:val="00E32122"/>
    <w:rsid w:val="00E32687"/>
    <w:rsid w:val="00E330A8"/>
    <w:rsid w:val="00E336D7"/>
    <w:rsid w:val="00E34CEF"/>
    <w:rsid w:val="00E35DED"/>
    <w:rsid w:val="00E36389"/>
    <w:rsid w:val="00E3700B"/>
    <w:rsid w:val="00E37A90"/>
    <w:rsid w:val="00E40375"/>
    <w:rsid w:val="00E40EA4"/>
    <w:rsid w:val="00E40FF3"/>
    <w:rsid w:val="00E41439"/>
    <w:rsid w:val="00E424E6"/>
    <w:rsid w:val="00E4260A"/>
    <w:rsid w:val="00E429F1"/>
    <w:rsid w:val="00E42A93"/>
    <w:rsid w:val="00E45160"/>
    <w:rsid w:val="00E453F0"/>
    <w:rsid w:val="00E46928"/>
    <w:rsid w:val="00E51919"/>
    <w:rsid w:val="00E51BB3"/>
    <w:rsid w:val="00E51BE2"/>
    <w:rsid w:val="00E55246"/>
    <w:rsid w:val="00E5608C"/>
    <w:rsid w:val="00E566A0"/>
    <w:rsid w:val="00E568D7"/>
    <w:rsid w:val="00E56F74"/>
    <w:rsid w:val="00E6125B"/>
    <w:rsid w:val="00E6140E"/>
    <w:rsid w:val="00E61CF0"/>
    <w:rsid w:val="00E62C72"/>
    <w:rsid w:val="00E63A9E"/>
    <w:rsid w:val="00E66264"/>
    <w:rsid w:val="00E667C1"/>
    <w:rsid w:val="00E67B72"/>
    <w:rsid w:val="00E70311"/>
    <w:rsid w:val="00E70584"/>
    <w:rsid w:val="00E70E0B"/>
    <w:rsid w:val="00E73443"/>
    <w:rsid w:val="00E73AE7"/>
    <w:rsid w:val="00E73F2D"/>
    <w:rsid w:val="00E743CB"/>
    <w:rsid w:val="00E75266"/>
    <w:rsid w:val="00E75493"/>
    <w:rsid w:val="00E75F5B"/>
    <w:rsid w:val="00E76401"/>
    <w:rsid w:val="00E7673B"/>
    <w:rsid w:val="00E77536"/>
    <w:rsid w:val="00E77C6A"/>
    <w:rsid w:val="00E8025D"/>
    <w:rsid w:val="00E80493"/>
    <w:rsid w:val="00E814A0"/>
    <w:rsid w:val="00E814C1"/>
    <w:rsid w:val="00E82408"/>
    <w:rsid w:val="00E8297D"/>
    <w:rsid w:val="00E82ADB"/>
    <w:rsid w:val="00E83B84"/>
    <w:rsid w:val="00E84A59"/>
    <w:rsid w:val="00E85C4C"/>
    <w:rsid w:val="00E87267"/>
    <w:rsid w:val="00E914F1"/>
    <w:rsid w:val="00E9332D"/>
    <w:rsid w:val="00E93BDA"/>
    <w:rsid w:val="00E94D0D"/>
    <w:rsid w:val="00E97998"/>
    <w:rsid w:val="00EA0CE7"/>
    <w:rsid w:val="00EA23D2"/>
    <w:rsid w:val="00EA272D"/>
    <w:rsid w:val="00EA2C9E"/>
    <w:rsid w:val="00EA3E42"/>
    <w:rsid w:val="00EA4B51"/>
    <w:rsid w:val="00EA6CCD"/>
    <w:rsid w:val="00EB20B4"/>
    <w:rsid w:val="00EB2A95"/>
    <w:rsid w:val="00EB3301"/>
    <w:rsid w:val="00EB4538"/>
    <w:rsid w:val="00EB7593"/>
    <w:rsid w:val="00EC0A16"/>
    <w:rsid w:val="00EC1EC6"/>
    <w:rsid w:val="00EC549A"/>
    <w:rsid w:val="00EC59C9"/>
    <w:rsid w:val="00EC5D30"/>
    <w:rsid w:val="00EC7035"/>
    <w:rsid w:val="00ED13F5"/>
    <w:rsid w:val="00ED1991"/>
    <w:rsid w:val="00ED37F4"/>
    <w:rsid w:val="00ED3D4B"/>
    <w:rsid w:val="00ED4B65"/>
    <w:rsid w:val="00ED52BC"/>
    <w:rsid w:val="00ED5D76"/>
    <w:rsid w:val="00ED623F"/>
    <w:rsid w:val="00ED7F7A"/>
    <w:rsid w:val="00EE2E38"/>
    <w:rsid w:val="00EE6983"/>
    <w:rsid w:val="00EF0506"/>
    <w:rsid w:val="00EF09B8"/>
    <w:rsid w:val="00EF0CEF"/>
    <w:rsid w:val="00EF2EC1"/>
    <w:rsid w:val="00EF3E38"/>
    <w:rsid w:val="00EF47BD"/>
    <w:rsid w:val="00EF4DC9"/>
    <w:rsid w:val="00EF6D5F"/>
    <w:rsid w:val="00EF6E31"/>
    <w:rsid w:val="00EF7546"/>
    <w:rsid w:val="00F00947"/>
    <w:rsid w:val="00F00CBD"/>
    <w:rsid w:val="00F0132D"/>
    <w:rsid w:val="00F01373"/>
    <w:rsid w:val="00F0144A"/>
    <w:rsid w:val="00F014A6"/>
    <w:rsid w:val="00F02DD8"/>
    <w:rsid w:val="00F035F7"/>
    <w:rsid w:val="00F059F7"/>
    <w:rsid w:val="00F05CE4"/>
    <w:rsid w:val="00F05E6C"/>
    <w:rsid w:val="00F06F09"/>
    <w:rsid w:val="00F07A38"/>
    <w:rsid w:val="00F121AE"/>
    <w:rsid w:val="00F12AA9"/>
    <w:rsid w:val="00F14A2F"/>
    <w:rsid w:val="00F14EE0"/>
    <w:rsid w:val="00F17695"/>
    <w:rsid w:val="00F178F3"/>
    <w:rsid w:val="00F20BEC"/>
    <w:rsid w:val="00F20C38"/>
    <w:rsid w:val="00F20F5C"/>
    <w:rsid w:val="00F22AC1"/>
    <w:rsid w:val="00F22C07"/>
    <w:rsid w:val="00F25144"/>
    <w:rsid w:val="00F270CF"/>
    <w:rsid w:val="00F27BC3"/>
    <w:rsid w:val="00F30587"/>
    <w:rsid w:val="00F30C5E"/>
    <w:rsid w:val="00F30E4C"/>
    <w:rsid w:val="00F3171F"/>
    <w:rsid w:val="00F31AB8"/>
    <w:rsid w:val="00F3219E"/>
    <w:rsid w:val="00F326C4"/>
    <w:rsid w:val="00F329D7"/>
    <w:rsid w:val="00F332A0"/>
    <w:rsid w:val="00F33D64"/>
    <w:rsid w:val="00F3739C"/>
    <w:rsid w:val="00F40CF2"/>
    <w:rsid w:val="00F42D4F"/>
    <w:rsid w:val="00F43E47"/>
    <w:rsid w:val="00F44321"/>
    <w:rsid w:val="00F44758"/>
    <w:rsid w:val="00F4555E"/>
    <w:rsid w:val="00F460CD"/>
    <w:rsid w:val="00F46E05"/>
    <w:rsid w:val="00F46F4B"/>
    <w:rsid w:val="00F4732E"/>
    <w:rsid w:val="00F50140"/>
    <w:rsid w:val="00F516AA"/>
    <w:rsid w:val="00F51AC8"/>
    <w:rsid w:val="00F54425"/>
    <w:rsid w:val="00F56728"/>
    <w:rsid w:val="00F570EF"/>
    <w:rsid w:val="00F60A02"/>
    <w:rsid w:val="00F6154F"/>
    <w:rsid w:val="00F617C7"/>
    <w:rsid w:val="00F63C49"/>
    <w:rsid w:val="00F6488F"/>
    <w:rsid w:val="00F64FBD"/>
    <w:rsid w:val="00F65643"/>
    <w:rsid w:val="00F66CC0"/>
    <w:rsid w:val="00F66D89"/>
    <w:rsid w:val="00F6712F"/>
    <w:rsid w:val="00F70267"/>
    <w:rsid w:val="00F7030F"/>
    <w:rsid w:val="00F73DF6"/>
    <w:rsid w:val="00F758C5"/>
    <w:rsid w:val="00F75EE1"/>
    <w:rsid w:val="00F76629"/>
    <w:rsid w:val="00F76B12"/>
    <w:rsid w:val="00F77604"/>
    <w:rsid w:val="00F808B1"/>
    <w:rsid w:val="00F821AB"/>
    <w:rsid w:val="00F8337B"/>
    <w:rsid w:val="00F83845"/>
    <w:rsid w:val="00F83DF1"/>
    <w:rsid w:val="00F83F37"/>
    <w:rsid w:val="00F84E9D"/>
    <w:rsid w:val="00F86D00"/>
    <w:rsid w:val="00F8715C"/>
    <w:rsid w:val="00F91B5F"/>
    <w:rsid w:val="00F91D9E"/>
    <w:rsid w:val="00F92A96"/>
    <w:rsid w:val="00F94061"/>
    <w:rsid w:val="00F947FF"/>
    <w:rsid w:val="00F9630E"/>
    <w:rsid w:val="00FA00CF"/>
    <w:rsid w:val="00FA0345"/>
    <w:rsid w:val="00FA0544"/>
    <w:rsid w:val="00FA0C28"/>
    <w:rsid w:val="00FA1231"/>
    <w:rsid w:val="00FA1449"/>
    <w:rsid w:val="00FA2736"/>
    <w:rsid w:val="00FA391D"/>
    <w:rsid w:val="00FA5A39"/>
    <w:rsid w:val="00FA7835"/>
    <w:rsid w:val="00FB41BF"/>
    <w:rsid w:val="00FB484B"/>
    <w:rsid w:val="00FB4BB9"/>
    <w:rsid w:val="00FB6A1A"/>
    <w:rsid w:val="00FB77B4"/>
    <w:rsid w:val="00FC1210"/>
    <w:rsid w:val="00FC3A04"/>
    <w:rsid w:val="00FC4C3B"/>
    <w:rsid w:val="00FC5B85"/>
    <w:rsid w:val="00FC60D2"/>
    <w:rsid w:val="00FC6E20"/>
    <w:rsid w:val="00FD239A"/>
    <w:rsid w:val="00FD3BD4"/>
    <w:rsid w:val="00FD43BD"/>
    <w:rsid w:val="00FD43E2"/>
    <w:rsid w:val="00FD49C7"/>
    <w:rsid w:val="00FD4F84"/>
    <w:rsid w:val="00FD52B0"/>
    <w:rsid w:val="00FD57FC"/>
    <w:rsid w:val="00FD796C"/>
    <w:rsid w:val="00FE0021"/>
    <w:rsid w:val="00FE019C"/>
    <w:rsid w:val="00FE5128"/>
    <w:rsid w:val="00FE5B00"/>
    <w:rsid w:val="00FE67E7"/>
    <w:rsid w:val="00FE744C"/>
    <w:rsid w:val="00FF0251"/>
    <w:rsid w:val="00FF0AB1"/>
    <w:rsid w:val="00FF0CBD"/>
    <w:rsid w:val="00FF1161"/>
    <w:rsid w:val="00FF11A6"/>
    <w:rsid w:val="00FF1E8E"/>
    <w:rsid w:val="00FF277B"/>
    <w:rsid w:val="00FF2BB9"/>
    <w:rsid w:val="00FF2D13"/>
    <w:rsid w:val="00FF2F0C"/>
    <w:rsid w:val="00FF346A"/>
    <w:rsid w:val="00FF3753"/>
    <w:rsid w:val="00FF3801"/>
    <w:rsid w:val="00FF3C34"/>
    <w:rsid w:val="00FF3C76"/>
    <w:rsid w:val="00FF42FE"/>
    <w:rsid w:val="00FF76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D67BC"/>
  <w15:docId w15:val="{8AADBB8B-F4B5-48A1-9971-0E26AF3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F6"/>
    <w:rPr>
      <w:sz w:val="24"/>
      <w:szCs w:val="24"/>
    </w:rPr>
  </w:style>
  <w:style w:type="paragraph" w:styleId="Naslov1">
    <w:name w:val="heading 1"/>
    <w:basedOn w:val="Normal"/>
    <w:next w:val="Normal"/>
    <w:link w:val="Naslov1Char"/>
    <w:qFormat/>
    <w:pPr>
      <w:keepNext/>
      <w:jc w:val="center"/>
      <w:outlineLvl w:val="0"/>
    </w:pPr>
    <w:rPr>
      <w:b/>
      <w:bCs/>
      <w:sz w:val="28"/>
    </w:rPr>
  </w:style>
  <w:style w:type="paragraph" w:styleId="Naslov2">
    <w:name w:val="heading 2"/>
    <w:basedOn w:val="Normal"/>
    <w:next w:val="Normal"/>
    <w:link w:val="Naslov2Char"/>
    <w:qFormat/>
    <w:pPr>
      <w:keepNext/>
      <w:ind w:left="360"/>
      <w:jc w:val="center"/>
      <w:outlineLvl w:val="1"/>
    </w:pPr>
    <w:rPr>
      <w:b/>
      <w:bCs/>
      <w:sz w:val="28"/>
    </w:rPr>
  </w:style>
  <w:style w:type="paragraph" w:styleId="Naslov3">
    <w:name w:val="heading 3"/>
    <w:basedOn w:val="Normal"/>
    <w:next w:val="Normal"/>
    <w:link w:val="Naslov3Char"/>
    <w:qFormat/>
    <w:pPr>
      <w:keepNext/>
      <w:spacing w:before="240" w:after="60"/>
      <w:outlineLvl w:val="2"/>
    </w:pPr>
    <w:rPr>
      <w:rFonts w:ascii="Arial" w:hAnsi="Arial"/>
      <w:b/>
      <w:bCs/>
      <w:sz w:val="26"/>
      <w:szCs w:val="26"/>
    </w:rPr>
  </w:style>
  <w:style w:type="paragraph" w:styleId="Naslov6">
    <w:name w:val="heading 6"/>
    <w:basedOn w:val="Normal"/>
    <w:next w:val="Normal"/>
    <w:link w:val="Naslov6Char"/>
    <w:qFormat/>
    <w:pPr>
      <w:keepNext/>
      <w:outlineLvl w:val="5"/>
    </w:pPr>
    <w:rPr>
      <w:szCs w:val="20"/>
      <w:lang w:val="en-AU"/>
    </w:rPr>
  </w:style>
  <w:style w:type="paragraph" w:styleId="Naslov8">
    <w:name w:val="heading 8"/>
    <w:basedOn w:val="Normal"/>
    <w:next w:val="Normal"/>
    <w:link w:val="Naslov8Char"/>
    <w:semiHidden/>
    <w:unhideWhenUsed/>
    <w:qFormat/>
    <w:rsid w:val="009C0297"/>
    <w:pPr>
      <w:spacing w:before="240" w:after="60"/>
      <w:outlineLvl w:val="7"/>
    </w:pPr>
    <w:rPr>
      <w:rFonts w:ascii="Calibri" w:hAnsi="Calibri"/>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anka">
    <w:name w:val="članka"/>
    <w:basedOn w:val="Normal"/>
    <w:pPr>
      <w:spacing w:line="360" w:lineRule="auto"/>
    </w:pPr>
  </w:style>
  <w:style w:type="paragraph" w:styleId="Naslov">
    <w:name w:val="Title"/>
    <w:basedOn w:val="Normal"/>
    <w:link w:val="NaslovChar"/>
    <w:qFormat/>
    <w:pPr>
      <w:jc w:val="center"/>
    </w:pPr>
    <w:rPr>
      <w:b/>
      <w:bCs/>
      <w:sz w:val="28"/>
    </w:rPr>
  </w:style>
  <w:style w:type="paragraph" w:styleId="Tijeloteksta">
    <w:name w:val="Body Text"/>
    <w:basedOn w:val="Normal"/>
    <w:link w:val="TijelotekstaChar"/>
    <w:pPr>
      <w:jc w:val="both"/>
    </w:pPr>
    <w:rPr>
      <w:szCs w:val="20"/>
    </w:rPr>
  </w:style>
  <w:style w:type="paragraph" w:styleId="Podnoje">
    <w:name w:val="footer"/>
    <w:basedOn w:val="Normal"/>
    <w:link w:val="PodnojeChar"/>
    <w:rsid w:val="006C1293"/>
    <w:pPr>
      <w:tabs>
        <w:tab w:val="center" w:pos="4536"/>
        <w:tab w:val="right" w:pos="9072"/>
      </w:tabs>
    </w:pPr>
  </w:style>
  <w:style w:type="character" w:styleId="Brojstranice">
    <w:name w:val="page number"/>
    <w:basedOn w:val="Zadanifontodlomka"/>
    <w:rsid w:val="006C1293"/>
  </w:style>
  <w:style w:type="paragraph" w:styleId="Tekstbalonia">
    <w:name w:val="Balloon Text"/>
    <w:basedOn w:val="Normal"/>
    <w:link w:val="TekstbaloniaChar"/>
    <w:semiHidden/>
    <w:rsid w:val="006C54F8"/>
    <w:rPr>
      <w:rFonts w:ascii="Tahoma" w:hAnsi="Tahoma" w:cs="Tahoma"/>
      <w:sz w:val="16"/>
      <w:szCs w:val="16"/>
    </w:rPr>
  </w:style>
  <w:style w:type="paragraph" w:styleId="Kartadokumenta">
    <w:name w:val="Document Map"/>
    <w:basedOn w:val="Normal"/>
    <w:link w:val="KartadokumentaChar"/>
    <w:semiHidden/>
    <w:rsid w:val="00A90F0D"/>
    <w:pPr>
      <w:shd w:val="clear" w:color="auto" w:fill="000080"/>
    </w:pPr>
    <w:rPr>
      <w:rFonts w:ascii="Tahoma" w:hAnsi="Tahoma" w:cs="Tahoma"/>
      <w:sz w:val="20"/>
      <w:szCs w:val="20"/>
    </w:rPr>
  </w:style>
  <w:style w:type="paragraph" w:customStyle="1" w:styleId="Tekstlanka">
    <w:name w:val="Tekst članka"/>
    <w:basedOn w:val="Normal"/>
    <w:rsid w:val="002D7B6A"/>
    <w:pPr>
      <w:widowControl w:val="0"/>
      <w:adjustRightInd w:val="0"/>
      <w:spacing w:line="360" w:lineRule="auto"/>
      <w:jc w:val="both"/>
      <w:textAlignment w:val="baseline"/>
    </w:pPr>
  </w:style>
  <w:style w:type="character" w:styleId="Referencakomentara">
    <w:name w:val="annotation reference"/>
    <w:rsid w:val="003F6B05"/>
    <w:rPr>
      <w:sz w:val="16"/>
      <w:szCs w:val="16"/>
    </w:rPr>
  </w:style>
  <w:style w:type="paragraph" w:styleId="Tekstkomentara">
    <w:name w:val="annotation text"/>
    <w:basedOn w:val="Normal"/>
    <w:link w:val="TekstkomentaraChar"/>
    <w:rsid w:val="003F6B05"/>
    <w:rPr>
      <w:sz w:val="20"/>
      <w:szCs w:val="20"/>
    </w:rPr>
  </w:style>
  <w:style w:type="character" w:customStyle="1" w:styleId="TekstkomentaraChar">
    <w:name w:val="Tekst komentara Char"/>
    <w:basedOn w:val="Zadanifontodlomka"/>
    <w:link w:val="Tekstkomentara"/>
    <w:rsid w:val="003F6B05"/>
  </w:style>
  <w:style w:type="paragraph" w:styleId="Predmetkomentara">
    <w:name w:val="annotation subject"/>
    <w:basedOn w:val="Tekstkomentara"/>
    <w:next w:val="Tekstkomentara"/>
    <w:link w:val="PredmetkomentaraChar"/>
    <w:rsid w:val="003F6B05"/>
    <w:rPr>
      <w:b/>
      <w:bCs/>
      <w:lang w:val="x-none" w:eastAsia="x-none"/>
    </w:rPr>
  </w:style>
  <w:style w:type="character" w:customStyle="1" w:styleId="PredmetkomentaraChar">
    <w:name w:val="Predmet komentara Char"/>
    <w:link w:val="Predmetkomentara"/>
    <w:rsid w:val="003F6B05"/>
    <w:rPr>
      <w:b/>
      <w:bCs/>
    </w:rPr>
  </w:style>
  <w:style w:type="table" w:styleId="Reetkatablice">
    <w:name w:val="Table Grid"/>
    <w:basedOn w:val="Obinatablica"/>
    <w:uiPriority w:val="59"/>
    <w:rsid w:val="00B9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2C747F"/>
    <w:rPr>
      <w:b/>
      <w:bCs/>
    </w:rPr>
  </w:style>
  <w:style w:type="paragraph" w:styleId="Revizija">
    <w:name w:val="Revision"/>
    <w:hidden/>
    <w:uiPriority w:val="99"/>
    <w:semiHidden/>
    <w:rsid w:val="007A3161"/>
    <w:rPr>
      <w:sz w:val="24"/>
      <w:szCs w:val="24"/>
    </w:rPr>
  </w:style>
  <w:style w:type="character" w:customStyle="1" w:styleId="Naslov8Char">
    <w:name w:val="Naslov 8 Char"/>
    <w:link w:val="Naslov8"/>
    <w:semiHidden/>
    <w:rsid w:val="009C0297"/>
    <w:rPr>
      <w:rFonts w:ascii="Calibri" w:eastAsia="Times New Roman" w:hAnsi="Calibri" w:cs="Times New Roman"/>
      <w:i/>
      <w:iCs/>
      <w:sz w:val="24"/>
      <w:szCs w:val="24"/>
    </w:rPr>
  </w:style>
  <w:style w:type="character" w:customStyle="1" w:styleId="Naslov2Char">
    <w:name w:val="Naslov 2 Char"/>
    <w:link w:val="Naslov2"/>
    <w:rsid w:val="009C0297"/>
    <w:rPr>
      <w:b/>
      <w:bCs/>
      <w:sz w:val="28"/>
      <w:szCs w:val="24"/>
    </w:rPr>
  </w:style>
  <w:style w:type="paragraph" w:customStyle="1" w:styleId="Default">
    <w:name w:val="Default"/>
    <w:rsid w:val="005456D7"/>
    <w:pPr>
      <w:autoSpaceDE w:val="0"/>
      <w:autoSpaceDN w:val="0"/>
      <w:adjustRightInd w:val="0"/>
    </w:pPr>
    <w:rPr>
      <w:color w:val="000000"/>
      <w:sz w:val="24"/>
      <w:szCs w:val="24"/>
    </w:rPr>
  </w:style>
  <w:style w:type="paragraph" w:styleId="StandardWeb">
    <w:name w:val="Normal (Web)"/>
    <w:basedOn w:val="Normal"/>
    <w:uiPriority w:val="99"/>
    <w:unhideWhenUsed/>
    <w:rsid w:val="00847367"/>
    <w:pPr>
      <w:spacing w:before="100" w:beforeAutospacing="1" w:after="100" w:afterAutospacing="1"/>
    </w:pPr>
  </w:style>
  <w:style w:type="paragraph" w:styleId="Zaglavlje">
    <w:name w:val="header"/>
    <w:basedOn w:val="Normal"/>
    <w:link w:val="ZaglavljeChar"/>
    <w:rsid w:val="005A1415"/>
    <w:pPr>
      <w:tabs>
        <w:tab w:val="center" w:pos="4536"/>
        <w:tab w:val="right" w:pos="9072"/>
      </w:tabs>
    </w:pPr>
  </w:style>
  <w:style w:type="character" w:customStyle="1" w:styleId="ZaglavljeChar">
    <w:name w:val="Zaglavlje Char"/>
    <w:link w:val="Zaglavlje"/>
    <w:rsid w:val="005A1415"/>
    <w:rPr>
      <w:sz w:val="24"/>
      <w:szCs w:val="24"/>
    </w:rPr>
  </w:style>
  <w:style w:type="character" w:customStyle="1" w:styleId="Naslov1Char">
    <w:name w:val="Naslov 1 Char"/>
    <w:link w:val="Naslov1"/>
    <w:rsid w:val="009E57CF"/>
    <w:rPr>
      <w:b/>
      <w:bCs/>
      <w:sz w:val="28"/>
      <w:szCs w:val="24"/>
    </w:rPr>
  </w:style>
  <w:style w:type="character" w:customStyle="1" w:styleId="NaslovChar">
    <w:name w:val="Naslov Char"/>
    <w:link w:val="Naslov"/>
    <w:rsid w:val="009E57CF"/>
    <w:rPr>
      <w:b/>
      <w:bCs/>
      <w:sz w:val="28"/>
      <w:szCs w:val="24"/>
    </w:rPr>
  </w:style>
  <w:style w:type="character" w:customStyle="1" w:styleId="TijelotekstaChar">
    <w:name w:val="Tijelo teksta Char"/>
    <w:link w:val="Tijeloteksta"/>
    <w:rsid w:val="009E57CF"/>
    <w:rPr>
      <w:sz w:val="24"/>
    </w:rPr>
  </w:style>
  <w:style w:type="paragraph" w:styleId="Tekstfusnote">
    <w:name w:val="footnote text"/>
    <w:aliases w:val="fn,Fußnote,Footnote Text Char Char Char,Footnote Text Char Char,Fuss nota,Tekst fusnote moj,Tekst fusnote moj Char Char,Fus nota casopis,Fus nota casopis Char,Footnote Text2,Fus nota casopis Char1 Char Char Char Char Char Char"/>
    <w:basedOn w:val="Normal"/>
    <w:link w:val="TekstfusnoteChar"/>
    <w:rsid w:val="00FD239A"/>
    <w:rPr>
      <w:sz w:val="20"/>
      <w:szCs w:val="20"/>
    </w:rPr>
  </w:style>
  <w:style w:type="character" w:customStyle="1" w:styleId="TekstfusnoteChar">
    <w:name w:val="Tekst fusnote Char"/>
    <w:aliases w:val="fn Char,Fußnote Char,Footnote Text Char Char Char Char,Footnote Text Char Char Char1,Fuss nota Char,Tekst fusnote moj Char,Tekst fusnote moj Char Char Char,Fus nota casopis Char1,Fus nota casopis Char Char,Footnote Text2 Char"/>
    <w:basedOn w:val="Zadanifontodlomka"/>
    <w:link w:val="Tekstfusnote"/>
    <w:rsid w:val="00FD239A"/>
  </w:style>
  <w:style w:type="paragraph" w:customStyle="1" w:styleId="t-9-8">
    <w:name w:val="t-9-8"/>
    <w:basedOn w:val="Normal"/>
    <w:rsid w:val="00FD239A"/>
    <w:pPr>
      <w:spacing w:before="100" w:beforeAutospacing="1" w:after="100" w:afterAutospacing="1"/>
    </w:pPr>
  </w:style>
  <w:style w:type="numbering" w:customStyle="1" w:styleId="Bezpopisa1">
    <w:name w:val="Bez popisa1"/>
    <w:next w:val="Bezpopisa"/>
    <w:uiPriority w:val="99"/>
    <w:semiHidden/>
    <w:unhideWhenUsed/>
    <w:rsid w:val="00187157"/>
  </w:style>
  <w:style w:type="character" w:customStyle="1" w:styleId="Naslov3Char">
    <w:name w:val="Naslov 3 Char"/>
    <w:link w:val="Naslov3"/>
    <w:rsid w:val="00187157"/>
    <w:rPr>
      <w:rFonts w:ascii="Arial" w:hAnsi="Arial"/>
      <w:b/>
      <w:bCs/>
      <w:sz w:val="26"/>
      <w:szCs w:val="26"/>
    </w:rPr>
  </w:style>
  <w:style w:type="character" w:customStyle="1" w:styleId="Naslov6Char">
    <w:name w:val="Naslov 6 Char"/>
    <w:link w:val="Naslov6"/>
    <w:rsid w:val="00187157"/>
    <w:rPr>
      <w:sz w:val="24"/>
      <w:lang w:val="en-AU"/>
    </w:rPr>
  </w:style>
  <w:style w:type="character" w:customStyle="1" w:styleId="PodnojeChar">
    <w:name w:val="Podnožje Char"/>
    <w:link w:val="Podnoje"/>
    <w:rsid w:val="00187157"/>
    <w:rPr>
      <w:sz w:val="24"/>
      <w:szCs w:val="24"/>
    </w:rPr>
  </w:style>
  <w:style w:type="character" w:customStyle="1" w:styleId="TekstbaloniaChar">
    <w:name w:val="Tekst balončića Char"/>
    <w:link w:val="Tekstbalonia"/>
    <w:semiHidden/>
    <w:rsid w:val="00187157"/>
    <w:rPr>
      <w:rFonts w:ascii="Tahoma" w:hAnsi="Tahoma" w:cs="Tahoma"/>
      <w:sz w:val="16"/>
      <w:szCs w:val="16"/>
    </w:rPr>
  </w:style>
  <w:style w:type="character" w:customStyle="1" w:styleId="KartadokumentaChar">
    <w:name w:val="Karta dokumenta Char"/>
    <w:link w:val="Kartadokumenta"/>
    <w:semiHidden/>
    <w:rsid w:val="00187157"/>
    <w:rPr>
      <w:rFonts w:ascii="Tahoma" w:hAnsi="Tahoma" w:cs="Tahoma"/>
      <w:shd w:val="clear" w:color="auto" w:fill="000080"/>
    </w:rPr>
  </w:style>
  <w:style w:type="table" w:customStyle="1" w:styleId="Reetkatablice1">
    <w:name w:val="Rešetka tablice1"/>
    <w:basedOn w:val="Obinatablica"/>
    <w:next w:val="Reetkatablice"/>
    <w:uiPriority w:val="59"/>
    <w:rsid w:val="0018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E51BB3"/>
    <w:pPr>
      <w:spacing w:before="100" w:beforeAutospacing="1" w:after="100" w:afterAutospacing="1"/>
    </w:pPr>
  </w:style>
  <w:style w:type="paragraph" w:customStyle="1" w:styleId="xmsonormal">
    <w:name w:val="x_msonormal"/>
    <w:basedOn w:val="Normal"/>
    <w:rsid w:val="00E51BB3"/>
    <w:pPr>
      <w:spacing w:before="100" w:beforeAutospacing="1" w:after="100" w:afterAutospacing="1"/>
    </w:pPr>
  </w:style>
  <w:style w:type="character" w:styleId="Istaknuto">
    <w:name w:val="Emphasis"/>
    <w:basedOn w:val="Zadanifontodlomka"/>
    <w:uiPriority w:val="20"/>
    <w:qFormat/>
    <w:rsid w:val="00A8274B"/>
    <w:rPr>
      <w:i/>
      <w:iCs/>
    </w:rPr>
  </w:style>
  <w:style w:type="paragraph" w:styleId="Odlomakpopisa">
    <w:name w:val="List Paragraph"/>
    <w:basedOn w:val="Normal"/>
    <w:uiPriority w:val="34"/>
    <w:qFormat/>
    <w:rsid w:val="00F66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93">
      <w:bodyDiv w:val="1"/>
      <w:marLeft w:val="0"/>
      <w:marRight w:val="0"/>
      <w:marTop w:val="0"/>
      <w:marBottom w:val="0"/>
      <w:divBdr>
        <w:top w:val="none" w:sz="0" w:space="0" w:color="auto"/>
        <w:left w:val="none" w:sz="0" w:space="0" w:color="auto"/>
        <w:bottom w:val="none" w:sz="0" w:space="0" w:color="auto"/>
        <w:right w:val="none" w:sz="0" w:space="0" w:color="auto"/>
      </w:divBdr>
    </w:div>
    <w:div w:id="477864">
      <w:bodyDiv w:val="1"/>
      <w:marLeft w:val="0"/>
      <w:marRight w:val="0"/>
      <w:marTop w:val="0"/>
      <w:marBottom w:val="0"/>
      <w:divBdr>
        <w:top w:val="none" w:sz="0" w:space="0" w:color="auto"/>
        <w:left w:val="none" w:sz="0" w:space="0" w:color="auto"/>
        <w:bottom w:val="none" w:sz="0" w:space="0" w:color="auto"/>
        <w:right w:val="none" w:sz="0" w:space="0" w:color="auto"/>
      </w:divBdr>
    </w:div>
    <w:div w:id="1397668">
      <w:bodyDiv w:val="1"/>
      <w:marLeft w:val="0"/>
      <w:marRight w:val="0"/>
      <w:marTop w:val="0"/>
      <w:marBottom w:val="0"/>
      <w:divBdr>
        <w:top w:val="none" w:sz="0" w:space="0" w:color="auto"/>
        <w:left w:val="none" w:sz="0" w:space="0" w:color="auto"/>
        <w:bottom w:val="none" w:sz="0" w:space="0" w:color="auto"/>
        <w:right w:val="none" w:sz="0" w:space="0" w:color="auto"/>
      </w:divBdr>
    </w:div>
    <w:div w:id="4484931">
      <w:bodyDiv w:val="1"/>
      <w:marLeft w:val="0"/>
      <w:marRight w:val="0"/>
      <w:marTop w:val="0"/>
      <w:marBottom w:val="0"/>
      <w:divBdr>
        <w:top w:val="none" w:sz="0" w:space="0" w:color="auto"/>
        <w:left w:val="none" w:sz="0" w:space="0" w:color="auto"/>
        <w:bottom w:val="none" w:sz="0" w:space="0" w:color="auto"/>
        <w:right w:val="none" w:sz="0" w:space="0" w:color="auto"/>
      </w:divBdr>
    </w:div>
    <w:div w:id="16469221">
      <w:bodyDiv w:val="1"/>
      <w:marLeft w:val="0"/>
      <w:marRight w:val="0"/>
      <w:marTop w:val="0"/>
      <w:marBottom w:val="0"/>
      <w:divBdr>
        <w:top w:val="none" w:sz="0" w:space="0" w:color="auto"/>
        <w:left w:val="none" w:sz="0" w:space="0" w:color="auto"/>
        <w:bottom w:val="none" w:sz="0" w:space="0" w:color="auto"/>
        <w:right w:val="none" w:sz="0" w:space="0" w:color="auto"/>
      </w:divBdr>
    </w:div>
    <w:div w:id="30814258">
      <w:bodyDiv w:val="1"/>
      <w:marLeft w:val="0"/>
      <w:marRight w:val="0"/>
      <w:marTop w:val="0"/>
      <w:marBottom w:val="0"/>
      <w:divBdr>
        <w:top w:val="none" w:sz="0" w:space="0" w:color="auto"/>
        <w:left w:val="none" w:sz="0" w:space="0" w:color="auto"/>
        <w:bottom w:val="none" w:sz="0" w:space="0" w:color="auto"/>
        <w:right w:val="none" w:sz="0" w:space="0" w:color="auto"/>
      </w:divBdr>
    </w:div>
    <w:div w:id="33236112">
      <w:bodyDiv w:val="1"/>
      <w:marLeft w:val="0"/>
      <w:marRight w:val="0"/>
      <w:marTop w:val="0"/>
      <w:marBottom w:val="0"/>
      <w:divBdr>
        <w:top w:val="none" w:sz="0" w:space="0" w:color="auto"/>
        <w:left w:val="none" w:sz="0" w:space="0" w:color="auto"/>
        <w:bottom w:val="none" w:sz="0" w:space="0" w:color="auto"/>
        <w:right w:val="none" w:sz="0" w:space="0" w:color="auto"/>
      </w:divBdr>
    </w:div>
    <w:div w:id="35281558">
      <w:bodyDiv w:val="1"/>
      <w:marLeft w:val="0"/>
      <w:marRight w:val="0"/>
      <w:marTop w:val="0"/>
      <w:marBottom w:val="0"/>
      <w:divBdr>
        <w:top w:val="none" w:sz="0" w:space="0" w:color="auto"/>
        <w:left w:val="none" w:sz="0" w:space="0" w:color="auto"/>
        <w:bottom w:val="none" w:sz="0" w:space="0" w:color="auto"/>
        <w:right w:val="none" w:sz="0" w:space="0" w:color="auto"/>
      </w:divBdr>
    </w:div>
    <w:div w:id="37821900">
      <w:bodyDiv w:val="1"/>
      <w:marLeft w:val="0"/>
      <w:marRight w:val="0"/>
      <w:marTop w:val="0"/>
      <w:marBottom w:val="0"/>
      <w:divBdr>
        <w:top w:val="none" w:sz="0" w:space="0" w:color="auto"/>
        <w:left w:val="none" w:sz="0" w:space="0" w:color="auto"/>
        <w:bottom w:val="none" w:sz="0" w:space="0" w:color="auto"/>
        <w:right w:val="none" w:sz="0" w:space="0" w:color="auto"/>
      </w:divBdr>
    </w:div>
    <w:div w:id="40401965">
      <w:bodyDiv w:val="1"/>
      <w:marLeft w:val="0"/>
      <w:marRight w:val="0"/>
      <w:marTop w:val="0"/>
      <w:marBottom w:val="0"/>
      <w:divBdr>
        <w:top w:val="none" w:sz="0" w:space="0" w:color="auto"/>
        <w:left w:val="none" w:sz="0" w:space="0" w:color="auto"/>
        <w:bottom w:val="none" w:sz="0" w:space="0" w:color="auto"/>
        <w:right w:val="none" w:sz="0" w:space="0" w:color="auto"/>
      </w:divBdr>
    </w:div>
    <w:div w:id="42600827">
      <w:bodyDiv w:val="1"/>
      <w:marLeft w:val="0"/>
      <w:marRight w:val="0"/>
      <w:marTop w:val="0"/>
      <w:marBottom w:val="0"/>
      <w:divBdr>
        <w:top w:val="none" w:sz="0" w:space="0" w:color="auto"/>
        <w:left w:val="none" w:sz="0" w:space="0" w:color="auto"/>
        <w:bottom w:val="none" w:sz="0" w:space="0" w:color="auto"/>
        <w:right w:val="none" w:sz="0" w:space="0" w:color="auto"/>
      </w:divBdr>
    </w:div>
    <w:div w:id="44958070">
      <w:bodyDiv w:val="1"/>
      <w:marLeft w:val="0"/>
      <w:marRight w:val="0"/>
      <w:marTop w:val="0"/>
      <w:marBottom w:val="0"/>
      <w:divBdr>
        <w:top w:val="none" w:sz="0" w:space="0" w:color="auto"/>
        <w:left w:val="none" w:sz="0" w:space="0" w:color="auto"/>
        <w:bottom w:val="none" w:sz="0" w:space="0" w:color="auto"/>
        <w:right w:val="none" w:sz="0" w:space="0" w:color="auto"/>
      </w:divBdr>
    </w:div>
    <w:div w:id="46801160">
      <w:bodyDiv w:val="1"/>
      <w:marLeft w:val="0"/>
      <w:marRight w:val="0"/>
      <w:marTop w:val="0"/>
      <w:marBottom w:val="0"/>
      <w:divBdr>
        <w:top w:val="none" w:sz="0" w:space="0" w:color="auto"/>
        <w:left w:val="none" w:sz="0" w:space="0" w:color="auto"/>
        <w:bottom w:val="none" w:sz="0" w:space="0" w:color="auto"/>
        <w:right w:val="none" w:sz="0" w:space="0" w:color="auto"/>
      </w:divBdr>
    </w:div>
    <w:div w:id="50811915">
      <w:bodyDiv w:val="1"/>
      <w:marLeft w:val="0"/>
      <w:marRight w:val="0"/>
      <w:marTop w:val="0"/>
      <w:marBottom w:val="0"/>
      <w:divBdr>
        <w:top w:val="none" w:sz="0" w:space="0" w:color="auto"/>
        <w:left w:val="none" w:sz="0" w:space="0" w:color="auto"/>
        <w:bottom w:val="none" w:sz="0" w:space="0" w:color="auto"/>
        <w:right w:val="none" w:sz="0" w:space="0" w:color="auto"/>
      </w:divBdr>
    </w:div>
    <w:div w:id="60253902">
      <w:bodyDiv w:val="1"/>
      <w:marLeft w:val="0"/>
      <w:marRight w:val="0"/>
      <w:marTop w:val="0"/>
      <w:marBottom w:val="0"/>
      <w:divBdr>
        <w:top w:val="none" w:sz="0" w:space="0" w:color="auto"/>
        <w:left w:val="none" w:sz="0" w:space="0" w:color="auto"/>
        <w:bottom w:val="none" w:sz="0" w:space="0" w:color="auto"/>
        <w:right w:val="none" w:sz="0" w:space="0" w:color="auto"/>
      </w:divBdr>
    </w:div>
    <w:div w:id="78136756">
      <w:bodyDiv w:val="1"/>
      <w:marLeft w:val="0"/>
      <w:marRight w:val="0"/>
      <w:marTop w:val="0"/>
      <w:marBottom w:val="0"/>
      <w:divBdr>
        <w:top w:val="none" w:sz="0" w:space="0" w:color="auto"/>
        <w:left w:val="none" w:sz="0" w:space="0" w:color="auto"/>
        <w:bottom w:val="none" w:sz="0" w:space="0" w:color="auto"/>
        <w:right w:val="none" w:sz="0" w:space="0" w:color="auto"/>
      </w:divBdr>
    </w:div>
    <w:div w:id="79065514">
      <w:bodyDiv w:val="1"/>
      <w:marLeft w:val="0"/>
      <w:marRight w:val="0"/>
      <w:marTop w:val="0"/>
      <w:marBottom w:val="0"/>
      <w:divBdr>
        <w:top w:val="none" w:sz="0" w:space="0" w:color="auto"/>
        <w:left w:val="none" w:sz="0" w:space="0" w:color="auto"/>
        <w:bottom w:val="none" w:sz="0" w:space="0" w:color="auto"/>
        <w:right w:val="none" w:sz="0" w:space="0" w:color="auto"/>
      </w:divBdr>
    </w:div>
    <w:div w:id="80104189">
      <w:bodyDiv w:val="1"/>
      <w:marLeft w:val="0"/>
      <w:marRight w:val="0"/>
      <w:marTop w:val="0"/>
      <w:marBottom w:val="0"/>
      <w:divBdr>
        <w:top w:val="none" w:sz="0" w:space="0" w:color="auto"/>
        <w:left w:val="none" w:sz="0" w:space="0" w:color="auto"/>
        <w:bottom w:val="none" w:sz="0" w:space="0" w:color="auto"/>
        <w:right w:val="none" w:sz="0" w:space="0" w:color="auto"/>
      </w:divBdr>
    </w:div>
    <w:div w:id="83188718">
      <w:bodyDiv w:val="1"/>
      <w:marLeft w:val="0"/>
      <w:marRight w:val="0"/>
      <w:marTop w:val="0"/>
      <w:marBottom w:val="0"/>
      <w:divBdr>
        <w:top w:val="none" w:sz="0" w:space="0" w:color="auto"/>
        <w:left w:val="none" w:sz="0" w:space="0" w:color="auto"/>
        <w:bottom w:val="none" w:sz="0" w:space="0" w:color="auto"/>
        <w:right w:val="none" w:sz="0" w:space="0" w:color="auto"/>
      </w:divBdr>
    </w:div>
    <w:div w:id="86662954">
      <w:bodyDiv w:val="1"/>
      <w:marLeft w:val="0"/>
      <w:marRight w:val="0"/>
      <w:marTop w:val="0"/>
      <w:marBottom w:val="0"/>
      <w:divBdr>
        <w:top w:val="none" w:sz="0" w:space="0" w:color="auto"/>
        <w:left w:val="none" w:sz="0" w:space="0" w:color="auto"/>
        <w:bottom w:val="none" w:sz="0" w:space="0" w:color="auto"/>
        <w:right w:val="none" w:sz="0" w:space="0" w:color="auto"/>
      </w:divBdr>
    </w:div>
    <w:div w:id="95486403">
      <w:bodyDiv w:val="1"/>
      <w:marLeft w:val="0"/>
      <w:marRight w:val="0"/>
      <w:marTop w:val="0"/>
      <w:marBottom w:val="0"/>
      <w:divBdr>
        <w:top w:val="none" w:sz="0" w:space="0" w:color="auto"/>
        <w:left w:val="none" w:sz="0" w:space="0" w:color="auto"/>
        <w:bottom w:val="none" w:sz="0" w:space="0" w:color="auto"/>
        <w:right w:val="none" w:sz="0" w:space="0" w:color="auto"/>
      </w:divBdr>
    </w:div>
    <w:div w:id="102726734">
      <w:bodyDiv w:val="1"/>
      <w:marLeft w:val="0"/>
      <w:marRight w:val="0"/>
      <w:marTop w:val="0"/>
      <w:marBottom w:val="0"/>
      <w:divBdr>
        <w:top w:val="none" w:sz="0" w:space="0" w:color="auto"/>
        <w:left w:val="none" w:sz="0" w:space="0" w:color="auto"/>
        <w:bottom w:val="none" w:sz="0" w:space="0" w:color="auto"/>
        <w:right w:val="none" w:sz="0" w:space="0" w:color="auto"/>
      </w:divBdr>
    </w:div>
    <w:div w:id="113136727">
      <w:bodyDiv w:val="1"/>
      <w:marLeft w:val="0"/>
      <w:marRight w:val="0"/>
      <w:marTop w:val="0"/>
      <w:marBottom w:val="0"/>
      <w:divBdr>
        <w:top w:val="none" w:sz="0" w:space="0" w:color="auto"/>
        <w:left w:val="none" w:sz="0" w:space="0" w:color="auto"/>
        <w:bottom w:val="none" w:sz="0" w:space="0" w:color="auto"/>
        <w:right w:val="none" w:sz="0" w:space="0" w:color="auto"/>
      </w:divBdr>
    </w:div>
    <w:div w:id="114374913">
      <w:bodyDiv w:val="1"/>
      <w:marLeft w:val="0"/>
      <w:marRight w:val="0"/>
      <w:marTop w:val="0"/>
      <w:marBottom w:val="0"/>
      <w:divBdr>
        <w:top w:val="none" w:sz="0" w:space="0" w:color="auto"/>
        <w:left w:val="none" w:sz="0" w:space="0" w:color="auto"/>
        <w:bottom w:val="none" w:sz="0" w:space="0" w:color="auto"/>
        <w:right w:val="none" w:sz="0" w:space="0" w:color="auto"/>
      </w:divBdr>
    </w:div>
    <w:div w:id="114908442">
      <w:bodyDiv w:val="1"/>
      <w:marLeft w:val="0"/>
      <w:marRight w:val="0"/>
      <w:marTop w:val="0"/>
      <w:marBottom w:val="0"/>
      <w:divBdr>
        <w:top w:val="none" w:sz="0" w:space="0" w:color="auto"/>
        <w:left w:val="none" w:sz="0" w:space="0" w:color="auto"/>
        <w:bottom w:val="none" w:sz="0" w:space="0" w:color="auto"/>
        <w:right w:val="none" w:sz="0" w:space="0" w:color="auto"/>
      </w:divBdr>
    </w:div>
    <w:div w:id="118686876">
      <w:bodyDiv w:val="1"/>
      <w:marLeft w:val="0"/>
      <w:marRight w:val="0"/>
      <w:marTop w:val="0"/>
      <w:marBottom w:val="0"/>
      <w:divBdr>
        <w:top w:val="none" w:sz="0" w:space="0" w:color="auto"/>
        <w:left w:val="none" w:sz="0" w:space="0" w:color="auto"/>
        <w:bottom w:val="none" w:sz="0" w:space="0" w:color="auto"/>
        <w:right w:val="none" w:sz="0" w:space="0" w:color="auto"/>
      </w:divBdr>
    </w:div>
    <w:div w:id="121923220">
      <w:bodyDiv w:val="1"/>
      <w:marLeft w:val="0"/>
      <w:marRight w:val="0"/>
      <w:marTop w:val="0"/>
      <w:marBottom w:val="0"/>
      <w:divBdr>
        <w:top w:val="none" w:sz="0" w:space="0" w:color="auto"/>
        <w:left w:val="none" w:sz="0" w:space="0" w:color="auto"/>
        <w:bottom w:val="none" w:sz="0" w:space="0" w:color="auto"/>
        <w:right w:val="none" w:sz="0" w:space="0" w:color="auto"/>
      </w:divBdr>
    </w:div>
    <w:div w:id="124781623">
      <w:bodyDiv w:val="1"/>
      <w:marLeft w:val="0"/>
      <w:marRight w:val="0"/>
      <w:marTop w:val="0"/>
      <w:marBottom w:val="0"/>
      <w:divBdr>
        <w:top w:val="none" w:sz="0" w:space="0" w:color="auto"/>
        <w:left w:val="none" w:sz="0" w:space="0" w:color="auto"/>
        <w:bottom w:val="none" w:sz="0" w:space="0" w:color="auto"/>
        <w:right w:val="none" w:sz="0" w:space="0" w:color="auto"/>
      </w:divBdr>
    </w:div>
    <w:div w:id="126775657">
      <w:bodyDiv w:val="1"/>
      <w:marLeft w:val="0"/>
      <w:marRight w:val="0"/>
      <w:marTop w:val="0"/>
      <w:marBottom w:val="0"/>
      <w:divBdr>
        <w:top w:val="none" w:sz="0" w:space="0" w:color="auto"/>
        <w:left w:val="none" w:sz="0" w:space="0" w:color="auto"/>
        <w:bottom w:val="none" w:sz="0" w:space="0" w:color="auto"/>
        <w:right w:val="none" w:sz="0" w:space="0" w:color="auto"/>
      </w:divBdr>
    </w:div>
    <w:div w:id="127362528">
      <w:bodyDiv w:val="1"/>
      <w:marLeft w:val="0"/>
      <w:marRight w:val="0"/>
      <w:marTop w:val="0"/>
      <w:marBottom w:val="0"/>
      <w:divBdr>
        <w:top w:val="none" w:sz="0" w:space="0" w:color="auto"/>
        <w:left w:val="none" w:sz="0" w:space="0" w:color="auto"/>
        <w:bottom w:val="none" w:sz="0" w:space="0" w:color="auto"/>
        <w:right w:val="none" w:sz="0" w:space="0" w:color="auto"/>
      </w:divBdr>
    </w:div>
    <w:div w:id="127818657">
      <w:bodyDiv w:val="1"/>
      <w:marLeft w:val="0"/>
      <w:marRight w:val="0"/>
      <w:marTop w:val="0"/>
      <w:marBottom w:val="0"/>
      <w:divBdr>
        <w:top w:val="none" w:sz="0" w:space="0" w:color="auto"/>
        <w:left w:val="none" w:sz="0" w:space="0" w:color="auto"/>
        <w:bottom w:val="none" w:sz="0" w:space="0" w:color="auto"/>
        <w:right w:val="none" w:sz="0" w:space="0" w:color="auto"/>
      </w:divBdr>
    </w:div>
    <w:div w:id="133834033">
      <w:bodyDiv w:val="1"/>
      <w:marLeft w:val="0"/>
      <w:marRight w:val="0"/>
      <w:marTop w:val="0"/>
      <w:marBottom w:val="0"/>
      <w:divBdr>
        <w:top w:val="none" w:sz="0" w:space="0" w:color="auto"/>
        <w:left w:val="none" w:sz="0" w:space="0" w:color="auto"/>
        <w:bottom w:val="none" w:sz="0" w:space="0" w:color="auto"/>
        <w:right w:val="none" w:sz="0" w:space="0" w:color="auto"/>
      </w:divBdr>
    </w:div>
    <w:div w:id="137579240">
      <w:bodyDiv w:val="1"/>
      <w:marLeft w:val="0"/>
      <w:marRight w:val="0"/>
      <w:marTop w:val="0"/>
      <w:marBottom w:val="0"/>
      <w:divBdr>
        <w:top w:val="none" w:sz="0" w:space="0" w:color="auto"/>
        <w:left w:val="none" w:sz="0" w:space="0" w:color="auto"/>
        <w:bottom w:val="none" w:sz="0" w:space="0" w:color="auto"/>
        <w:right w:val="none" w:sz="0" w:space="0" w:color="auto"/>
      </w:divBdr>
    </w:div>
    <w:div w:id="147133812">
      <w:bodyDiv w:val="1"/>
      <w:marLeft w:val="0"/>
      <w:marRight w:val="0"/>
      <w:marTop w:val="0"/>
      <w:marBottom w:val="0"/>
      <w:divBdr>
        <w:top w:val="none" w:sz="0" w:space="0" w:color="auto"/>
        <w:left w:val="none" w:sz="0" w:space="0" w:color="auto"/>
        <w:bottom w:val="none" w:sz="0" w:space="0" w:color="auto"/>
        <w:right w:val="none" w:sz="0" w:space="0" w:color="auto"/>
      </w:divBdr>
    </w:div>
    <w:div w:id="157427258">
      <w:bodyDiv w:val="1"/>
      <w:marLeft w:val="0"/>
      <w:marRight w:val="0"/>
      <w:marTop w:val="0"/>
      <w:marBottom w:val="0"/>
      <w:divBdr>
        <w:top w:val="none" w:sz="0" w:space="0" w:color="auto"/>
        <w:left w:val="none" w:sz="0" w:space="0" w:color="auto"/>
        <w:bottom w:val="none" w:sz="0" w:space="0" w:color="auto"/>
        <w:right w:val="none" w:sz="0" w:space="0" w:color="auto"/>
      </w:divBdr>
    </w:div>
    <w:div w:id="179508704">
      <w:bodyDiv w:val="1"/>
      <w:marLeft w:val="0"/>
      <w:marRight w:val="0"/>
      <w:marTop w:val="0"/>
      <w:marBottom w:val="0"/>
      <w:divBdr>
        <w:top w:val="none" w:sz="0" w:space="0" w:color="auto"/>
        <w:left w:val="none" w:sz="0" w:space="0" w:color="auto"/>
        <w:bottom w:val="none" w:sz="0" w:space="0" w:color="auto"/>
        <w:right w:val="none" w:sz="0" w:space="0" w:color="auto"/>
      </w:divBdr>
    </w:div>
    <w:div w:id="179781708">
      <w:bodyDiv w:val="1"/>
      <w:marLeft w:val="0"/>
      <w:marRight w:val="0"/>
      <w:marTop w:val="0"/>
      <w:marBottom w:val="0"/>
      <w:divBdr>
        <w:top w:val="none" w:sz="0" w:space="0" w:color="auto"/>
        <w:left w:val="none" w:sz="0" w:space="0" w:color="auto"/>
        <w:bottom w:val="none" w:sz="0" w:space="0" w:color="auto"/>
        <w:right w:val="none" w:sz="0" w:space="0" w:color="auto"/>
      </w:divBdr>
    </w:div>
    <w:div w:id="181870094">
      <w:bodyDiv w:val="1"/>
      <w:marLeft w:val="0"/>
      <w:marRight w:val="0"/>
      <w:marTop w:val="0"/>
      <w:marBottom w:val="0"/>
      <w:divBdr>
        <w:top w:val="none" w:sz="0" w:space="0" w:color="auto"/>
        <w:left w:val="none" w:sz="0" w:space="0" w:color="auto"/>
        <w:bottom w:val="none" w:sz="0" w:space="0" w:color="auto"/>
        <w:right w:val="none" w:sz="0" w:space="0" w:color="auto"/>
      </w:divBdr>
    </w:div>
    <w:div w:id="183519010">
      <w:bodyDiv w:val="1"/>
      <w:marLeft w:val="0"/>
      <w:marRight w:val="0"/>
      <w:marTop w:val="0"/>
      <w:marBottom w:val="0"/>
      <w:divBdr>
        <w:top w:val="none" w:sz="0" w:space="0" w:color="auto"/>
        <w:left w:val="none" w:sz="0" w:space="0" w:color="auto"/>
        <w:bottom w:val="none" w:sz="0" w:space="0" w:color="auto"/>
        <w:right w:val="none" w:sz="0" w:space="0" w:color="auto"/>
      </w:divBdr>
    </w:div>
    <w:div w:id="188301500">
      <w:bodyDiv w:val="1"/>
      <w:marLeft w:val="0"/>
      <w:marRight w:val="0"/>
      <w:marTop w:val="0"/>
      <w:marBottom w:val="0"/>
      <w:divBdr>
        <w:top w:val="none" w:sz="0" w:space="0" w:color="auto"/>
        <w:left w:val="none" w:sz="0" w:space="0" w:color="auto"/>
        <w:bottom w:val="none" w:sz="0" w:space="0" w:color="auto"/>
        <w:right w:val="none" w:sz="0" w:space="0" w:color="auto"/>
      </w:divBdr>
    </w:div>
    <w:div w:id="188644705">
      <w:bodyDiv w:val="1"/>
      <w:marLeft w:val="0"/>
      <w:marRight w:val="0"/>
      <w:marTop w:val="0"/>
      <w:marBottom w:val="0"/>
      <w:divBdr>
        <w:top w:val="none" w:sz="0" w:space="0" w:color="auto"/>
        <w:left w:val="none" w:sz="0" w:space="0" w:color="auto"/>
        <w:bottom w:val="none" w:sz="0" w:space="0" w:color="auto"/>
        <w:right w:val="none" w:sz="0" w:space="0" w:color="auto"/>
      </w:divBdr>
    </w:div>
    <w:div w:id="198053810">
      <w:bodyDiv w:val="1"/>
      <w:marLeft w:val="0"/>
      <w:marRight w:val="0"/>
      <w:marTop w:val="0"/>
      <w:marBottom w:val="0"/>
      <w:divBdr>
        <w:top w:val="none" w:sz="0" w:space="0" w:color="auto"/>
        <w:left w:val="none" w:sz="0" w:space="0" w:color="auto"/>
        <w:bottom w:val="none" w:sz="0" w:space="0" w:color="auto"/>
        <w:right w:val="none" w:sz="0" w:space="0" w:color="auto"/>
      </w:divBdr>
    </w:div>
    <w:div w:id="215046221">
      <w:bodyDiv w:val="1"/>
      <w:marLeft w:val="0"/>
      <w:marRight w:val="0"/>
      <w:marTop w:val="0"/>
      <w:marBottom w:val="0"/>
      <w:divBdr>
        <w:top w:val="none" w:sz="0" w:space="0" w:color="auto"/>
        <w:left w:val="none" w:sz="0" w:space="0" w:color="auto"/>
        <w:bottom w:val="none" w:sz="0" w:space="0" w:color="auto"/>
        <w:right w:val="none" w:sz="0" w:space="0" w:color="auto"/>
      </w:divBdr>
    </w:div>
    <w:div w:id="219218616">
      <w:bodyDiv w:val="1"/>
      <w:marLeft w:val="0"/>
      <w:marRight w:val="0"/>
      <w:marTop w:val="0"/>
      <w:marBottom w:val="0"/>
      <w:divBdr>
        <w:top w:val="none" w:sz="0" w:space="0" w:color="auto"/>
        <w:left w:val="none" w:sz="0" w:space="0" w:color="auto"/>
        <w:bottom w:val="none" w:sz="0" w:space="0" w:color="auto"/>
        <w:right w:val="none" w:sz="0" w:space="0" w:color="auto"/>
      </w:divBdr>
    </w:div>
    <w:div w:id="219756769">
      <w:bodyDiv w:val="1"/>
      <w:marLeft w:val="0"/>
      <w:marRight w:val="0"/>
      <w:marTop w:val="0"/>
      <w:marBottom w:val="0"/>
      <w:divBdr>
        <w:top w:val="none" w:sz="0" w:space="0" w:color="auto"/>
        <w:left w:val="none" w:sz="0" w:space="0" w:color="auto"/>
        <w:bottom w:val="none" w:sz="0" w:space="0" w:color="auto"/>
        <w:right w:val="none" w:sz="0" w:space="0" w:color="auto"/>
      </w:divBdr>
    </w:div>
    <w:div w:id="220942784">
      <w:bodyDiv w:val="1"/>
      <w:marLeft w:val="0"/>
      <w:marRight w:val="0"/>
      <w:marTop w:val="0"/>
      <w:marBottom w:val="0"/>
      <w:divBdr>
        <w:top w:val="none" w:sz="0" w:space="0" w:color="auto"/>
        <w:left w:val="none" w:sz="0" w:space="0" w:color="auto"/>
        <w:bottom w:val="none" w:sz="0" w:space="0" w:color="auto"/>
        <w:right w:val="none" w:sz="0" w:space="0" w:color="auto"/>
      </w:divBdr>
    </w:div>
    <w:div w:id="233443157">
      <w:bodyDiv w:val="1"/>
      <w:marLeft w:val="0"/>
      <w:marRight w:val="0"/>
      <w:marTop w:val="0"/>
      <w:marBottom w:val="0"/>
      <w:divBdr>
        <w:top w:val="none" w:sz="0" w:space="0" w:color="auto"/>
        <w:left w:val="none" w:sz="0" w:space="0" w:color="auto"/>
        <w:bottom w:val="none" w:sz="0" w:space="0" w:color="auto"/>
        <w:right w:val="none" w:sz="0" w:space="0" w:color="auto"/>
      </w:divBdr>
    </w:div>
    <w:div w:id="243228201">
      <w:bodyDiv w:val="1"/>
      <w:marLeft w:val="0"/>
      <w:marRight w:val="0"/>
      <w:marTop w:val="0"/>
      <w:marBottom w:val="0"/>
      <w:divBdr>
        <w:top w:val="none" w:sz="0" w:space="0" w:color="auto"/>
        <w:left w:val="none" w:sz="0" w:space="0" w:color="auto"/>
        <w:bottom w:val="none" w:sz="0" w:space="0" w:color="auto"/>
        <w:right w:val="none" w:sz="0" w:space="0" w:color="auto"/>
      </w:divBdr>
    </w:div>
    <w:div w:id="243417347">
      <w:bodyDiv w:val="1"/>
      <w:marLeft w:val="0"/>
      <w:marRight w:val="0"/>
      <w:marTop w:val="0"/>
      <w:marBottom w:val="0"/>
      <w:divBdr>
        <w:top w:val="none" w:sz="0" w:space="0" w:color="auto"/>
        <w:left w:val="none" w:sz="0" w:space="0" w:color="auto"/>
        <w:bottom w:val="none" w:sz="0" w:space="0" w:color="auto"/>
        <w:right w:val="none" w:sz="0" w:space="0" w:color="auto"/>
      </w:divBdr>
    </w:div>
    <w:div w:id="249852137">
      <w:bodyDiv w:val="1"/>
      <w:marLeft w:val="0"/>
      <w:marRight w:val="0"/>
      <w:marTop w:val="0"/>
      <w:marBottom w:val="0"/>
      <w:divBdr>
        <w:top w:val="none" w:sz="0" w:space="0" w:color="auto"/>
        <w:left w:val="none" w:sz="0" w:space="0" w:color="auto"/>
        <w:bottom w:val="none" w:sz="0" w:space="0" w:color="auto"/>
        <w:right w:val="none" w:sz="0" w:space="0" w:color="auto"/>
      </w:divBdr>
    </w:div>
    <w:div w:id="260652999">
      <w:bodyDiv w:val="1"/>
      <w:marLeft w:val="0"/>
      <w:marRight w:val="0"/>
      <w:marTop w:val="0"/>
      <w:marBottom w:val="0"/>
      <w:divBdr>
        <w:top w:val="none" w:sz="0" w:space="0" w:color="auto"/>
        <w:left w:val="none" w:sz="0" w:space="0" w:color="auto"/>
        <w:bottom w:val="none" w:sz="0" w:space="0" w:color="auto"/>
        <w:right w:val="none" w:sz="0" w:space="0" w:color="auto"/>
      </w:divBdr>
    </w:div>
    <w:div w:id="286162124">
      <w:bodyDiv w:val="1"/>
      <w:marLeft w:val="0"/>
      <w:marRight w:val="0"/>
      <w:marTop w:val="0"/>
      <w:marBottom w:val="0"/>
      <w:divBdr>
        <w:top w:val="none" w:sz="0" w:space="0" w:color="auto"/>
        <w:left w:val="none" w:sz="0" w:space="0" w:color="auto"/>
        <w:bottom w:val="none" w:sz="0" w:space="0" w:color="auto"/>
        <w:right w:val="none" w:sz="0" w:space="0" w:color="auto"/>
      </w:divBdr>
    </w:div>
    <w:div w:id="287128310">
      <w:bodyDiv w:val="1"/>
      <w:marLeft w:val="0"/>
      <w:marRight w:val="0"/>
      <w:marTop w:val="0"/>
      <w:marBottom w:val="0"/>
      <w:divBdr>
        <w:top w:val="none" w:sz="0" w:space="0" w:color="auto"/>
        <w:left w:val="none" w:sz="0" w:space="0" w:color="auto"/>
        <w:bottom w:val="none" w:sz="0" w:space="0" w:color="auto"/>
        <w:right w:val="none" w:sz="0" w:space="0" w:color="auto"/>
      </w:divBdr>
    </w:div>
    <w:div w:id="287441655">
      <w:bodyDiv w:val="1"/>
      <w:marLeft w:val="0"/>
      <w:marRight w:val="0"/>
      <w:marTop w:val="0"/>
      <w:marBottom w:val="0"/>
      <w:divBdr>
        <w:top w:val="none" w:sz="0" w:space="0" w:color="auto"/>
        <w:left w:val="none" w:sz="0" w:space="0" w:color="auto"/>
        <w:bottom w:val="none" w:sz="0" w:space="0" w:color="auto"/>
        <w:right w:val="none" w:sz="0" w:space="0" w:color="auto"/>
      </w:divBdr>
    </w:div>
    <w:div w:id="290668589">
      <w:bodyDiv w:val="1"/>
      <w:marLeft w:val="0"/>
      <w:marRight w:val="0"/>
      <w:marTop w:val="0"/>
      <w:marBottom w:val="0"/>
      <w:divBdr>
        <w:top w:val="none" w:sz="0" w:space="0" w:color="auto"/>
        <w:left w:val="none" w:sz="0" w:space="0" w:color="auto"/>
        <w:bottom w:val="none" w:sz="0" w:space="0" w:color="auto"/>
        <w:right w:val="none" w:sz="0" w:space="0" w:color="auto"/>
      </w:divBdr>
    </w:div>
    <w:div w:id="299268512">
      <w:bodyDiv w:val="1"/>
      <w:marLeft w:val="0"/>
      <w:marRight w:val="0"/>
      <w:marTop w:val="0"/>
      <w:marBottom w:val="0"/>
      <w:divBdr>
        <w:top w:val="none" w:sz="0" w:space="0" w:color="auto"/>
        <w:left w:val="none" w:sz="0" w:space="0" w:color="auto"/>
        <w:bottom w:val="none" w:sz="0" w:space="0" w:color="auto"/>
        <w:right w:val="none" w:sz="0" w:space="0" w:color="auto"/>
      </w:divBdr>
    </w:div>
    <w:div w:id="306519617">
      <w:bodyDiv w:val="1"/>
      <w:marLeft w:val="0"/>
      <w:marRight w:val="0"/>
      <w:marTop w:val="0"/>
      <w:marBottom w:val="0"/>
      <w:divBdr>
        <w:top w:val="none" w:sz="0" w:space="0" w:color="auto"/>
        <w:left w:val="none" w:sz="0" w:space="0" w:color="auto"/>
        <w:bottom w:val="none" w:sz="0" w:space="0" w:color="auto"/>
        <w:right w:val="none" w:sz="0" w:space="0" w:color="auto"/>
      </w:divBdr>
    </w:div>
    <w:div w:id="306712416">
      <w:bodyDiv w:val="1"/>
      <w:marLeft w:val="0"/>
      <w:marRight w:val="0"/>
      <w:marTop w:val="0"/>
      <w:marBottom w:val="0"/>
      <w:divBdr>
        <w:top w:val="none" w:sz="0" w:space="0" w:color="auto"/>
        <w:left w:val="none" w:sz="0" w:space="0" w:color="auto"/>
        <w:bottom w:val="none" w:sz="0" w:space="0" w:color="auto"/>
        <w:right w:val="none" w:sz="0" w:space="0" w:color="auto"/>
      </w:divBdr>
    </w:div>
    <w:div w:id="308095659">
      <w:bodyDiv w:val="1"/>
      <w:marLeft w:val="0"/>
      <w:marRight w:val="0"/>
      <w:marTop w:val="0"/>
      <w:marBottom w:val="0"/>
      <w:divBdr>
        <w:top w:val="none" w:sz="0" w:space="0" w:color="auto"/>
        <w:left w:val="none" w:sz="0" w:space="0" w:color="auto"/>
        <w:bottom w:val="none" w:sz="0" w:space="0" w:color="auto"/>
        <w:right w:val="none" w:sz="0" w:space="0" w:color="auto"/>
      </w:divBdr>
    </w:div>
    <w:div w:id="309789782">
      <w:bodyDiv w:val="1"/>
      <w:marLeft w:val="0"/>
      <w:marRight w:val="0"/>
      <w:marTop w:val="0"/>
      <w:marBottom w:val="0"/>
      <w:divBdr>
        <w:top w:val="none" w:sz="0" w:space="0" w:color="auto"/>
        <w:left w:val="none" w:sz="0" w:space="0" w:color="auto"/>
        <w:bottom w:val="none" w:sz="0" w:space="0" w:color="auto"/>
        <w:right w:val="none" w:sz="0" w:space="0" w:color="auto"/>
      </w:divBdr>
    </w:div>
    <w:div w:id="337269228">
      <w:bodyDiv w:val="1"/>
      <w:marLeft w:val="0"/>
      <w:marRight w:val="0"/>
      <w:marTop w:val="0"/>
      <w:marBottom w:val="0"/>
      <w:divBdr>
        <w:top w:val="none" w:sz="0" w:space="0" w:color="auto"/>
        <w:left w:val="none" w:sz="0" w:space="0" w:color="auto"/>
        <w:bottom w:val="none" w:sz="0" w:space="0" w:color="auto"/>
        <w:right w:val="none" w:sz="0" w:space="0" w:color="auto"/>
      </w:divBdr>
    </w:div>
    <w:div w:id="347951751">
      <w:bodyDiv w:val="1"/>
      <w:marLeft w:val="0"/>
      <w:marRight w:val="0"/>
      <w:marTop w:val="0"/>
      <w:marBottom w:val="0"/>
      <w:divBdr>
        <w:top w:val="none" w:sz="0" w:space="0" w:color="auto"/>
        <w:left w:val="none" w:sz="0" w:space="0" w:color="auto"/>
        <w:bottom w:val="none" w:sz="0" w:space="0" w:color="auto"/>
        <w:right w:val="none" w:sz="0" w:space="0" w:color="auto"/>
      </w:divBdr>
    </w:div>
    <w:div w:id="354043469">
      <w:bodyDiv w:val="1"/>
      <w:marLeft w:val="0"/>
      <w:marRight w:val="0"/>
      <w:marTop w:val="0"/>
      <w:marBottom w:val="0"/>
      <w:divBdr>
        <w:top w:val="none" w:sz="0" w:space="0" w:color="auto"/>
        <w:left w:val="none" w:sz="0" w:space="0" w:color="auto"/>
        <w:bottom w:val="none" w:sz="0" w:space="0" w:color="auto"/>
        <w:right w:val="none" w:sz="0" w:space="0" w:color="auto"/>
      </w:divBdr>
    </w:div>
    <w:div w:id="355276937">
      <w:bodyDiv w:val="1"/>
      <w:marLeft w:val="0"/>
      <w:marRight w:val="0"/>
      <w:marTop w:val="0"/>
      <w:marBottom w:val="0"/>
      <w:divBdr>
        <w:top w:val="none" w:sz="0" w:space="0" w:color="auto"/>
        <w:left w:val="none" w:sz="0" w:space="0" w:color="auto"/>
        <w:bottom w:val="none" w:sz="0" w:space="0" w:color="auto"/>
        <w:right w:val="none" w:sz="0" w:space="0" w:color="auto"/>
      </w:divBdr>
    </w:div>
    <w:div w:id="361442594">
      <w:bodyDiv w:val="1"/>
      <w:marLeft w:val="0"/>
      <w:marRight w:val="0"/>
      <w:marTop w:val="0"/>
      <w:marBottom w:val="0"/>
      <w:divBdr>
        <w:top w:val="none" w:sz="0" w:space="0" w:color="auto"/>
        <w:left w:val="none" w:sz="0" w:space="0" w:color="auto"/>
        <w:bottom w:val="none" w:sz="0" w:space="0" w:color="auto"/>
        <w:right w:val="none" w:sz="0" w:space="0" w:color="auto"/>
      </w:divBdr>
    </w:div>
    <w:div w:id="363559988">
      <w:bodyDiv w:val="1"/>
      <w:marLeft w:val="0"/>
      <w:marRight w:val="0"/>
      <w:marTop w:val="0"/>
      <w:marBottom w:val="0"/>
      <w:divBdr>
        <w:top w:val="none" w:sz="0" w:space="0" w:color="auto"/>
        <w:left w:val="none" w:sz="0" w:space="0" w:color="auto"/>
        <w:bottom w:val="none" w:sz="0" w:space="0" w:color="auto"/>
        <w:right w:val="none" w:sz="0" w:space="0" w:color="auto"/>
      </w:divBdr>
    </w:div>
    <w:div w:id="366612368">
      <w:bodyDiv w:val="1"/>
      <w:marLeft w:val="0"/>
      <w:marRight w:val="0"/>
      <w:marTop w:val="0"/>
      <w:marBottom w:val="0"/>
      <w:divBdr>
        <w:top w:val="none" w:sz="0" w:space="0" w:color="auto"/>
        <w:left w:val="none" w:sz="0" w:space="0" w:color="auto"/>
        <w:bottom w:val="none" w:sz="0" w:space="0" w:color="auto"/>
        <w:right w:val="none" w:sz="0" w:space="0" w:color="auto"/>
      </w:divBdr>
    </w:div>
    <w:div w:id="382366466">
      <w:bodyDiv w:val="1"/>
      <w:marLeft w:val="0"/>
      <w:marRight w:val="0"/>
      <w:marTop w:val="0"/>
      <w:marBottom w:val="0"/>
      <w:divBdr>
        <w:top w:val="none" w:sz="0" w:space="0" w:color="auto"/>
        <w:left w:val="none" w:sz="0" w:space="0" w:color="auto"/>
        <w:bottom w:val="none" w:sz="0" w:space="0" w:color="auto"/>
        <w:right w:val="none" w:sz="0" w:space="0" w:color="auto"/>
      </w:divBdr>
    </w:div>
    <w:div w:id="399057262">
      <w:bodyDiv w:val="1"/>
      <w:marLeft w:val="0"/>
      <w:marRight w:val="0"/>
      <w:marTop w:val="0"/>
      <w:marBottom w:val="0"/>
      <w:divBdr>
        <w:top w:val="none" w:sz="0" w:space="0" w:color="auto"/>
        <w:left w:val="none" w:sz="0" w:space="0" w:color="auto"/>
        <w:bottom w:val="none" w:sz="0" w:space="0" w:color="auto"/>
        <w:right w:val="none" w:sz="0" w:space="0" w:color="auto"/>
      </w:divBdr>
    </w:div>
    <w:div w:id="399404139">
      <w:bodyDiv w:val="1"/>
      <w:marLeft w:val="0"/>
      <w:marRight w:val="0"/>
      <w:marTop w:val="0"/>
      <w:marBottom w:val="0"/>
      <w:divBdr>
        <w:top w:val="none" w:sz="0" w:space="0" w:color="auto"/>
        <w:left w:val="none" w:sz="0" w:space="0" w:color="auto"/>
        <w:bottom w:val="none" w:sz="0" w:space="0" w:color="auto"/>
        <w:right w:val="none" w:sz="0" w:space="0" w:color="auto"/>
      </w:divBdr>
    </w:div>
    <w:div w:id="401176670">
      <w:bodyDiv w:val="1"/>
      <w:marLeft w:val="0"/>
      <w:marRight w:val="0"/>
      <w:marTop w:val="0"/>
      <w:marBottom w:val="0"/>
      <w:divBdr>
        <w:top w:val="none" w:sz="0" w:space="0" w:color="auto"/>
        <w:left w:val="none" w:sz="0" w:space="0" w:color="auto"/>
        <w:bottom w:val="none" w:sz="0" w:space="0" w:color="auto"/>
        <w:right w:val="none" w:sz="0" w:space="0" w:color="auto"/>
      </w:divBdr>
    </w:div>
    <w:div w:id="403841213">
      <w:bodyDiv w:val="1"/>
      <w:marLeft w:val="0"/>
      <w:marRight w:val="0"/>
      <w:marTop w:val="0"/>
      <w:marBottom w:val="0"/>
      <w:divBdr>
        <w:top w:val="none" w:sz="0" w:space="0" w:color="auto"/>
        <w:left w:val="none" w:sz="0" w:space="0" w:color="auto"/>
        <w:bottom w:val="none" w:sz="0" w:space="0" w:color="auto"/>
        <w:right w:val="none" w:sz="0" w:space="0" w:color="auto"/>
      </w:divBdr>
    </w:div>
    <w:div w:id="404106925">
      <w:bodyDiv w:val="1"/>
      <w:marLeft w:val="0"/>
      <w:marRight w:val="0"/>
      <w:marTop w:val="0"/>
      <w:marBottom w:val="0"/>
      <w:divBdr>
        <w:top w:val="none" w:sz="0" w:space="0" w:color="auto"/>
        <w:left w:val="none" w:sz="0" w:space="0" w:color="auto"/>
        <w:bottom w:val="none" w:sz="0" w:space="0" w:color="auto"/>
        <w:right w:val="none" w:sz="0" w:space="0" w:color="auto"/>
      </w:divBdr>
    </w:div>
    <w:div w:id="411968551">
      <w:bodyDiv w:val="1"/>
      <w:marLeft w:val="0"/>
      <w:marRight w:val="0"/>
      <w:marTop w:val="0"/>
      <w:marBottom w:val="0"/>
      <w:divBdr>
        <w:top w:val="none" w:sz="0" w:space="0" w:color="auto"/>
        <w:left w:val="none" w:sz="0" w:space="0" w:color="auto"/>
        <w:bottom w:val="none" w:sz="0" w:space="0" w:color="auto"/>
        <w:right w:val="none" w:sz="0" w:space="0" w:color="auto"/>
      </w:divBdr>
    </w:div>
    <w:div w:id="421802269">
      <w:bodyDiv w:val="1"/>
      <w:marLeft w:val="0"/>
      <w:marRight w:val="0"/>
      <w:marTop w:val="0"/>
      <w:marBottom w:val="0"/>
      <w:divBdr>
        <w:top w:val="none" w:sz="0" w:space="0" w:color="auto"/>
        <w:left w:val="none" w:sz="0" w:space="0" w:color="auto"/>
        <w:bottom w:val="none" w:sz="0" w:space="0" w:color="auto"/>
        <w:right w:val="none" w:sz="0" w:space="0" w:color="auto"/>
      </w:divBdr>
      <w:divsChild>
        <w:div w:id="718943290">
          <w:marLeft w:val="0"/>
          <w:marRight w:val="0"/>
          <w:marTop w:val="0"/>
          <w:marBottom w:val="0"/>
          <w:divBdr>
            <w:top w:val="none" w:sz="0" w:space="0" w:color="auto"/>
            <w:left w:val="none" w:sz="0" w:space="0" w:color="auto"/>
            <w:bottom w:val="none" w:sz="0" w:space="0" w:color="auto"/>
            <w:right w:val="none" w:sz="0" w:space="0" w:color="auto"/>
          </w:divBdr>
        </w:div>
        <w:div w:id="1060714207">
          <w:marLeft w:val="0"/>
          <w:marRight w:val="0"/>
          <w:marTop w:val="0"/>
          <w:marBottom w:val="0"/>
          <w:divBdr>
            <w:top w:val="none" w:sz="0" w:space="0" w:color="auto"/>
            <w:left w:val="none" w:sz="0" w:space="0" w:color="auto"/>
            <w:bottom w:val="none" w:sz="0" w:space="0" w:color="auto"/>
            <w:right w:val="none" w:sz="0" w:space="0" w:color="auto"/>
          </w:divBdr>
        </w:div>
        <w:div w:id="1321883712">
          <w:marLeft w:val="0"/>
          <w:marRight w:val="0"/>
          <w:marTop w:val="0"/>
          <w:marBottom w:val="0"/>
          <w:divBdr>
            <w:top w:val="none" w:sz="0" w:space="0" w:color="auto"/>
            <w:left w:val="none" w:sz="0" w:space="0" w:color="auto"/>
            <w:bottom w:val="none" w:sz="0" w:space="0" w:color="auto"/>
            <w:right w:val="none" w:sz="0" w:space="0" w:color="auto"/>
          </w:divBdr>
        </w:div>
      </w:divsChild>
    </w:div>
    <w:div w:id="430392642">
      <w:bodyDiv w:val="1"/>
      <w:marLeft w:val="0"/>
      <w:marRight w:val="0"/>
      <w:marTop w:val="0"/>
      <w:marBottom w:val="0"/>
      <w:divBdr>
        <w:top w:val="none" w:sz="0" w:space="0" w:color="auto"/>
        <w:left w:val="none" w:sz="0" w:space="0" w:color="auto"/>
        <w:bottom w:val="none" w:sz="0" w:space="0" w:color="auto"/>
        <w:right w:val="none" w:sz="0" w:space="0" w:color="auto"/>
      </w:divBdr>
    </w:div>
    <w:div w:id="430854875">
      <w:bodyDiv w:val="1"/>
      <w:marLeft w:val="0"/>
      <w:marRight w:val="0"/>
      <w:marTop w:val="0"/>
      <w:marBottom w:val="0"/>
      <w:divBdr>
        <w:top w:val="none" w:sz="0" w:space="0" w:color="auto"/>
        <w:left w:val="none" w:sz="0" w:space="0" w:color="auto"/>
        <w:bottom w:val="none" w:sz="0" w:space="0" w:color="auto"/>
        <w:right w:val="none" w:sz="0" w:space="0" w:color="auto"/>
      </w:divBdr>
    </w:div>
    <w:div w:id="433284545">
      <w:bodyDiv w:val="1"/>
      <w:marLeft w:val="0"/>
      <w:marRight w:val="0"/>
      <w:marTop w:val="0"/>
      <w:marBottom w:val="0"/>
      <w:divBdr>
        <w:top w:val="none" w:sz="0" w:space="0" w:color="auto"/>
        <w:left w:val="none" w:sz="0" w:space="0" w:color="auto"/>
        <w:bottom w:val="none" w:sz="0" w:space="0" w:color="auto"/>
        <w:right w:val="none" w:sz="0" w:space="0" w:color="auto"/>
      </w:divBdr>
    </w:div>
    <w:div w:id="437607437">
      <w:bodyDiv w:val="1"/>
      <w:marLeft w:val="0"/>
      <w:marRight w:val="0"/>
      <w:marTop w:val="0"/>
      <w:marBottom w:val="0"/>
      <w:divBdr>
        <w:top w:val="none" w:sz="0" w:space="0" w:color="auto"/>
        <w:left w:val="none" w:sz="0" w:space="0" w:color="auto"/>
        <w:bottom w:val="none" w:sz="0" w:space="0" w:color="auto"/>
        <w:right w:val="none" w:sz="0" w:space="0" w:color="auto"/>
      </w:divBdr>
    </w:div>
    <w:div w:id="445468889">
      <w:bodyDiv w:val="1"/>
      <w:marLeft w:val="0"/>
      <w:marRight w:val="0"/>
      <w:marTop w:val="0"/>
      <w:marBottom w:val="0"/>
      <w:divBdr>
        <w:top w:val="none" w:sz="0" w:space="0" w:color="auto"/>
        <w:left w:val="none" w:sz="0" w:space="0" w:color="auto"/>
        <w:bottom w:val="none" w:sz="0" w:space="0" w:color="auto"/>
        <w:right w:val="none" w:sz="0" w:space="0" w:color="auto"/>
      </w:divBdr>
    </w:div>
    <w:div w:id="457723134">
      <w:bodyDiv w:val="1"/>
      <w:marLeft w:val="0"/>
      <w:marRight w:val="0"/>
      <w:marTop w:val="0"/>
      <w:marBottom w:val="0"/>
      <w:divBdr>
        <w:top w:val="none" w:sz="0" w:space="0" w:color="auto"/>
        <w:left w:val="none" w:sz="0" w:space="0" w:color="auto"/>
        <w:bottom w:val="none" w:sz="0" w:space="0" w:color="auto"/>
        <w:right w:val="none" w:sz="0" w:space="0" w:color="auto"/>
      </w:divBdr>
    </w:div>
    <w:div w:id="458766949">
      <w:bodyDiv w:val="1"/>
      <w:marLeft w:val="0"/>
      <w:marRight w:val="0"/>
      <w:marTop w:val="0"/>
      <w:marBottom w:val="0"/>
      <w:divBdr>
        <w:top w:val="none" w:sz="0" w:space="0" w:color="auto"/>
        <w:left w:val="none" w:sz="0" w:space="0" w:color="auto"/>
        <w:bottom w:val="none" w:sz="0" w:space="0" w:color="auto"/>
        <w:right w:val="none" w:sz="0" w:space="0" w:color="auto"/>
      </w:divBdr>
    </w:div>
    <w:div w:id="461390387">
      <w:bodyDiv w:val="1"/>
      <w:marLeft w:val="0"/>
      <w:marRight w:val="0"/>
      <w:marTop w:val="0"/>
      <w:marBottom w:val="0"/>
      <w:divBdr>
        <w:top w:val="none" w:sz="0" w:space="0" w:color="auto"/>
        <w:left w:val="none" w:sz="0" w:space="0" w:color="auto"/>
        <w:bottom w:val="none" w:sz="0" w:space="0" w:color="auto"/>
        <w:right w:val="none" w:sz="0" w:space="0" w:color="auto"/>
      </w:divBdr>
    </w:div>
    <w:div w:id="462039594">
      <w:bodyDiv w:val="1"/>
      <w:marLeft w:val="0"/>
      <w:marRight w:val="0"/>
      <w:marTop w:val="0"/>
      <w:marBottom w:val="0"/>
      <w:divBdr>
        <w:top w:val="none" w:sz="0" w:space="0" w:color="auto"/>
        <w:left w:val="none" w:sz="0" w:space="0" w:color="auto"/>
        <w:bottom w:val="none" w:sz="0" w:space="0" w:color="auto"/>
        <w:right w:val="none" w:sz="0" w:space="0" w:color="auto"/>
      </w:divBdr>
    </w:div>
    <w:div w:id="478772206">
      <w:bodyDiv w:val="1"/>
      <w:marLeft w:val="0"/>
      <w:marRight w:val="0"/>
      <w:marTop w:val="0"/>
      <w:marBottom w:val="0"/>
      <w:divBdr>
        <w:top w:val="none" w:sz="0" w:space="0" w:color="auto"/>
        <w:left w:val="none" w:sz="0" w:space="0" w:color="auto"/>
        <w:bottom w:val="none" w:sz="0" w:space="0" w:color="auto"/>
        <w:right w:val="none" w:sz="0" w:space="0" w:color="auto"/>
      </w:divBdr>
    </w:div>
    <w:div w:id="482888372">
      <w:bodyDiv w:val="1"/>
      <w:marLeft w:val="0"/>
      <w:marRight w:val="0"/>
      <w:marTop w:val="0"/>
      <w:marBottom w:val="0"/>
      <w:divBdr>
        <w:top w:val="none" w:sz="0" w:space="0" w:color="auto"/>
        <w:left w:val="none" w:sz="0" w:space="0" w:color="auto"/>
        <w:bottom w:val="none" w:sz="0" w:space="0" w:color="auto"/>
        <w:right w:val="none" w:sz="0" w:space="0" w:color="auto"/>
      </w:divBdr>
    </w:div>
    <w:div w:id="483275128">
      <w:bodyDiv w:val="1"/>
      <w:marLeft w:val="0"/>
      <w:marRight w:val="0"/>
      <w:marTop w:val="0"/>
      <w:marBottom w:val="0"/>
      <w:divBdr>
        <w:top w:val="none" w:sz="0" w:space="0" w:color="auto"/>
        <w:left w:val="none" w:sz="0" w:space="0" w:color="auto"/>
        <w:bottom w:val="none" w:sz="0" w:space="0" w:color="auto"/>
        <w:right w:val="none" w:sz="0" w:space="0" w:color="auto"/>
      </w:divBdr>
    </w:div>
    <w:div w:id="486677545">
      <w:bodyDiv w:val="1"/>
      <w:marLeft w:val="0"/>
      <w:marRight w:val="0"/>
      <w:marTop w:val="0"/>
      <w:marBottom w:val="0"/>
      <w:divBdr>
        <w:top w:val="none" w:sz="0" w:space="0" w:color="auto"/>
        <w:left w:val="none" w:sz="0" w:space="0" w:color="auto"/>
        <w:bottom w:val="none" w:sz="0" w:space="0" w:color="auto"/>
        <w:right w:val="none" w:sz="0" w:space="0" w:color="auto"/>
      </w:divBdr>
    </w:div>
    <w:div w:id="487287474">
      <w:bodyDiv w:val="1"/>
      <w:marLeft w:val="0"/>
      <w:marRight w:val="0"/>
      <w:marTop w:val="0"/>
      <w:marBottom w:val="0"/>
      <w:divBdr>
        <w:top w:val="none" w:sz="0" w:space="0" w:color="auto"/>
        <w:left w:val="none" w:sz="0" w:space="0" w:color="auto"/>
        <w:bottom w:val="none" w:sz="0" w:space="0" w:color="auto"/>
        <w:right w:val="none" w:sz="0" w:space="0" w:color="auto"/>
      </w:divBdr>
    </w:div>
    <w:div w:id="495801289">
      <w:bodyDiv w:val="1"/>
      <w:marLeft w:val="0"/>
      <w:marRight w:val="0"/>
      <w:marTop w:val="0"/>
      <w:marBottom w:val="0"/>
      <w:divBdr>
        <w:top w:val="none" w:sz="0" w:space="0" w:color="auto"/>
        <w:left w:val="none" w:sz="0" w:space="0" w:color="auto"/>
        <w:bottom w:val="none" w:sz="0" w:space="0" w:color="auto"/>
        <w:right w:val="none" w:sz="0" w:space="0" w:color="auto"/>
      </w:divBdr>
    </w:div>
    <w:div w:id="504983262">
      <w:bodyDiv w:val="1"/>
      <w:marLeft w:val="0"/>
      <w:marRight w:val="0"/>
      <w:marTop w:val="0"/>
      <w:marBottom w:val="0"/>
      <w:divBdr>
        <w:top w:val="none" w:sz="0" w:space="0" w:color="auto"/>
        <w:left w:val="none" w:sz="0" w:space="0" w:color="auto"/>
        <w:bottom w:val="none" w:sz="0" w:space="0" w:color="auto"/>
        <w:right w:val="none" w:sz="0" w:space="0" w:color="auto"/>
      </w:divBdr>
    </w:div>
    <w:div w:id="519929595">
      <w:bodyDiv w:val="1"/>
      <w:marLeft w:val="0"/>
      <w:marRight w:val="0"/>
      <w:marTop w:val="0"/>
      <w:marBottom w:val="0"/>
      <w:divBdr>
        <w:top w:val="none" w:sz="0" w:space="0" w:color="auto"/>
        <w:left w:val="none" w:sz="0" w:space="0" w:color="auto"/>
        <w:bottom w:val="none" w:sz="0" w:space="0" w:color="auto"/>
        <w:right w:val="none" w:sz="0" w:space="0" w:color="auto"/>
      </w:divBdr>
    </w:div>
    <w:div w:id="524097550">
      <w:bodyDiv w:val="1"/>
      <w:marLeft w:val="0"/>
      <w:marRight w:val="0"/>
      <w:marTop w:val="0"/>
      <w:marBottom w:val="0"/>
      <w:divBdr>
        <w:top w:val="none" w:sz="0" w:space="0" w:color="auto"/>
        <w:left w:val="none" w:sz="0" w:space="0" w:color="auto"/>
        <w:bottom w:val="none" w:sz="0" w:space="0" w:color="auto"/>
        <w:right w:val="none" w:sz="0" w:space="0" w:color="auto"/>
      </w:divBdr>
    </w:div>
    <w:div w:id="525411931">
      <w:bodyDiv w:val="1"/>
      <w:marLeft w:val="0"/>
      <w:marRight w:val="0"/>
      <w:marTop w:val="0"/>
      <w:marBottom w:val="0"/>
      <w:divBdr>
        <w:top w:val="none" w:sz="0" w:space="0" w:color="auto"/>
        <w:left w:val="none" w:sz="0" w:space="0" w:color="auto"/>
        <w:bottom w:val="none" w:sz="0" w:space="0" w:color="auto"/>
        <w:right w:val="none" w:sz="0" w:space="0" w:color="auto"/>
      </w:divBdr>
    </w:div>
    <w:div w:id="526213553">
      <w:bodyDiv w:val="1"/>
      <w:marLeft w:val="0"/>
      <w:marRight w:val="0"/>
      <w:marTop w:val="0"/>
      <w:marBottom w:val="0"/>
      <w:divBdr>
        <w:top w:val="none" w:sz="0" w:space="0" w:color="auto"/>
        <w:left w:val="none" w:sz="0" w:space="0" w:color="auto"/>
        <w:bottom w:val="none" w:sz="0" w:space="0" w:color="auto"/>
        <w:right w:val="none" w:sz="0" w:space="0" w:color="auto"/>
      </w:divBdr>
    </w:div>
    <w:div w:id="530343427">
      <w:bodyDiv w:val="1"/>
      <w:marLeft w:val="0"/>
      <w:marRight w:val="0"/>
      <w:marTop w:val="0"/>
      <w:marBottom w:val="0"/>
      <w:divBdr>
        <w:top w:val="none" w:sz="0" w:space="0" w:color="auto"/>
        <w:left w:val="none" w:sz="0" w:space="0" w:color="auto"/>
        <w:bottom w:val="none" w:sz="0" w:space="0" w:color="auto"/>
        <w:right w:val="none" w:sz="0" w:space="0" w:color="auto"/>
      </w:divBdr>
    </w:div>
    <w:div w:id="540289227">
      <w:bodyDiv w:val="1"/>
      <w:marLeft w:val="0"/>
      <w:marRight w:val="0"/>
      <w:marTop w:val="0"/>
      <w:marBottom w:val="0"/>
      <w:divBdr>
        <w:top w:val="none" w:sz="0" w:space="0" w:color="auto"/>
        <w:left w:val="none" w:sz="0" w:space="0" w:color="auto"/>
        <w:bottom w:val="none" w:sz="0" w:space="0" w:color="auto"/>
        <w:right w:val="none" w:sz="0" w:space="0" w:color="auto"/>
      </w:divBdr>
    </w:div>
    <w:div w:id="551775413">
      <w:bodyDiv w:val="1"/>
      <w:marLeft w:val="0"/>
      <w:marRight w:val="0"/>
      <w:marTop w:val="0"/>
      <w:marBottom w:val="0"/>
      <w:divBdr>
        <w:top w:val="none" w:sz="0" w:space="0" w:color="auto"/>
        <w:left w:val="none" w:sz="0" w:space="0" w:color="auto"/>
        <w:bottom w:val="none" w:sz="0" w:space="0" w:color="auto"/>
        <w:right w:val="none" w:sz="0" w:space="0" w:color="auto"/>
      </w:divBdr>
    </w:div>
    <w:div w:id="558905177">
      <w:bodyDiv w:val="1"/>
      <w:marLeft w:val="0"/>
      <w:marRight w:val="0"/>
      <w:marTop w:val="0"/>
      <w:marBottom w:val="0"/>
      <w:divBdr>
        <w:top w:val="none" w:sz="0" w:space="0" w:color="auto"/>
        <w:left w:val="none" w:sz="0" w:space="0" w:color="auto"/>
        <w:bottom w:val="none" w:sz="0" w:space="0" w:color="auto"/>
        <w:right w:val="none" w:sz="0" w:space="0" w:color="auto"/>
      </w:divBdr>
    </w:div>
    <w:div w:id="560870902">
      <w:bodyDiv w:val="1"/>
      <w:marLeft w:val="0"/>
      <w:marRight w:val="0"/>
      <w:marTop w:val="0"/>
      <w:marBottom w:val="0"/>
      <w:divBdr>
        <w:top w:val="none" w:sz="0" w:space="0" w:color="auto"/>
        <w:left w:val="none" w:sz="0" w:space="0" w:color="auto"/>
        <w:bottom w:val="none" w:sz="0" w:space="0" w:color="auto"/>
        <w:right w:val="none" w:sz="0" w:space="0" w:color="auto"/>
      </w:divBdr>
    </w:div>
    <w:div w:id="563301468">
      <w:bodyDiv w:val="1"/>
      <w:marLeft w:val="0"/>
      <w:marRight w:val="0"/>
      <w:marTop w:val="0"/>
      <w:marBottom w:val="0"/>
      <w:divBdr>
        <w:top w:val="none" w:sz="0" w:space="0" w:color="auto"/>
        <w:left w:val="none" w:sz="0" w:space="0" w:color="auto"/>
        <w:bottom w:val="none" w:sz="0" w:space="0" w:color="auto"/>
        <w:right w:val="none" w:sz="0" w:space="0" w:color="auto"/>
      </w:divBdr>
    </w:div>
    <w:div w:id="570504192">
      <w:bodyDiv w:val="1"/>
      <w:marLeft w:val="0"/>
      <w:marRight w:val="0"/>
      <w:marTop w:val="0"/>
      <w:marBottom w:val="0"/>
      <w:divBdr>
        <w:top w:val="none" w:sz="0" w:space="0" w:color="auto"/>
        <w:left w:val="none" w:sz="0" w:space="0" w:color="auto"/>
        <w:bottom w:val="none" w:sz="0" w:space="0" w:color="auto"/>
        <w:right w:val="none" w:sz="0" w:space="0" w:color="auto"/>
      </w:divBdr>
    </w:div>
    <w:div w:id="576398698">
      <w:bodyDiv w:val="1"/>
      <w:marLeft w:val="0"/>
      <w:marRight w:val="0"/>
      <w:marTop w:val="0"/>
      <w:marBottom w:val="0"/>
      <w:divBdr>
        <w:top w:val="none" w:sz="0" w:space="0" w:color="auto"/>
        <w:left w:val="none" w:sz="0" w:space="0" w:color="auto"/>
        <w:bottom w:val="none" w:sz="0" w:space="0" w:color="auto"/>
        <w:right w:val="none" w:sz="0" w:space="0" w:color="auto"/>
      </w:divBdr>
    </w:div>
    <w:div w:id="596132757">
      <w:bodyDiv w:val="1"/>
      <w:marLeft w:val="0"/>
      <w:marRight w:val="0"/>
      <w:marTop w:val="0"/>
      <w:marBottom w:val="0"/>
      <w:divBdr>
        <w:top w:val="none" w:sz="0" w:space="0" w:color="auto"/>
        <w:left w:val="none" w:sz="0" w:space="0" w:color="auto"/>
        <w:bottom w:val="none" w:sz="0" w:space="0" w:color="auto"/>
        <w:right w:val="none" w:sz="0" w:space="0" w:color="auto"/>
      </w:divBdr>
    </w:div>
    <w:div w:id="605768287">
      <w:bodyDiv w:val="1"/>
      <w:marLeft w:val="0"/>
      <w:marRight w:val="0"/>
      <w:marTop w:val="0"/>
      <w:marBottom w:val="0"/>
      <w:divBdr>
        <w:top w:val="none" w:sz="0" w:space="0" w:color="auto"/>
        <w:left w:val="none" w:sz="0" w:space="0" w:color="auto"/>
        <w:bottom w:val="none" w:sz="0" w:space="0" w:color="auto"/>
        <w:right w:val="none" w:sz="0" w:space="0" w:color="auto"/>
      </w:divBdr>
    </w:div>
    <w:div w:id="607157881">
      <w:bodyDiv w:val="1"/>
      <w:marLeft w:val="0"/>
      <w:marRight w:val="0"/>
      <w:marTop w:val="0"/>
      <w:marBottom w:val="0"/>
      <w:divBdr>
        <w:top w:val="none" w:sz="0" w:space="0" w:color="auto"/>
        <w:left w:val="none" w:sz="0" w:space="0" w:color="auto"/>
        <w:bottom w:val="none" w:sz="0" w:space="0" w:color="auto"/>
        <w:right w:val="none" w:sz="0" w:space="0" w:color="auto"/>
      </w:divBdr>
    </w:div>
    <w:div w:id="612177116">
      <w:bodyDiv w:val="1"/>
      <w:marLeft w:val="0"/>
      <w:marRight w:val="0"/>
      <w:marTop w:val="0"/>
      <w:marBottom w:val="0"/>
      <w:divBdr>
        <w:top w:val="none" w:sz="0" w:space="0" w:color="auto"/>
        <w:left w:val="none" w:sz="0" w:space="0" w:color="auto"/>
        <w:bottom w:val="none" w:sz="0" w:space="0" w:color="auto"/>
        <w:right w:val="none" w:sz="0" w:space="0" w:color="auto"/>
      </w:divBdr>
    </w:div>
    <w:div w:id="615986387">
      <w:bodyDiv w:val="1"/>
      <w:marLeft w:val="0"/>
      <w:marRight w:val="0"/>
      <w:marTop w:val="0"/>
      <w:marBottom w:val="0"/>
      <w:divBdr>
        <w:top w:val="none" w:sz="0" w:space="0" w:color="auto"/>
        <w:left w:val="none" w:sz="0" w:space="0" w:color="auto"/>
        <w:bottom w:val="none" w:sz="0" w:space="0" w:color="auto"/>
        <w:right w:val="none" w:sz="0" w:space="0" w:color="auto"/>
      </w:divBdr>
    </w:div>
    <w:div w:id="618877058">
      <w:bodyDiv w:val="1"/>
      <w:marLeft w:val="0"/>
      <w:marRight w:val="0"/>
      <w:marTop w:val="0"/>
      <w:marBottom w:val="0"/>
      <w:divBdr>
        <w:top w:val="none" w:sz="0" w:space="0" w:color="auto"/>
        <w:left w:val="none" w:sz="0" w:space="0" w:color="auto"/>
        <w:bottom w:val="none" w:sz="0" w:space="0" w:color="auto"/>
        <w:right w:val="none" w:sz="0" w:space="0" w:color="auto"/>
      </w:divBdr>
    </w:div>
    <w:div w:id="621956054">
      <w:bodyDiv w:val="1"/>
      <w:marLeft w:val="0"/>
      <w:marRight w:val="0"/>
      <w:marTop w:val="0"/>
      <w:marBottom w:val="0"/>
      <w:divBdr>
        <w:top w:val="none" w:sz="0" w:space="0" w:color="auto"/>
        <w:left w:val="none" w:sz="0" w:space="0" w:color="auto"/>
        <w:bottom w:val="none" w:sz="0" w:space="0" w:color="auto"/>
        <w:right w:val="none" w:sz="0" w:space="0" w:color="auto"/>
      </w:divBdr>
    </w:div>
    <w:div w:id="623384954">
      <w:bodyDiv w:val="1"/>
      <w:marLeft w:val="0"/>
      <w:marRight w:val="0"/>
      <w:marTop w:val="0"/>
      <w:marBottom w:val="0"/>
      <w:divBdr>
        <w:top w:val="none" w:sz="0" w:space="0" w:color="auto"/>
        <w:left w:val="none" w:sz="0" w:space="0" w:color="auto"/>
        <w:bottom w:val="none" w:sz="0" w:space="0" w:color="auto"/>
        <w:right w:val="none" w:sz="0" w:space="0" w:color="auto"/>
      </w:divBdr>
    </w:div>
    <w:div w:id="626813723">
      <w:bodyDiv w:val="1"/>
      <w:marLeft w:val="0"/>
      <w:marRight w:val="0"/>
      <w:marTop w:val="0"/>
      <w:marBottom w:val="0"/>
      <w:divBdr>
        <w:top w:val="none" w:sz="0" w:space="0" w:color="auto"/>
        <w:left w:val="none" w:sz="0" w:space="0" w:color="auto"/>
        <w:bottom w:val="none" w:sz="0" w:space="0" w:color="auto"/>
        <w:right w:val="none" w:sz="0" w:space="0" w:color="auto"/>
      </w:divBdr>
    </w:div>
    <w:div w:id="628437722">
      <w:bodyDiv w:val="1"/>
      <w:marLeft w:val="0"/>
      <w:marRight w:val="0"/>
      <w:marTop w:val="0"/>
      <w:marBottom w:val="0"/>
      <w:divBdr>
        <w:top w:val="none" w:sz="0" w:space="0" w:color="auto"/>
        <w:left w:val="none" w:sz="0" w:space="0" w:color="auto"/>
        <w:bottom w:val="none" w:sz="0" w:space="0" w:color="auto"/>
        <w:right w:val="none" w:sz="0" w:space="0" w:color="auto"/>
      </w:divBdr>
    </w:div>
    <w:div w:id="636420522">
      <w:bodyDiv w:val="1"/>
      <w:marLeft w:val="0"/>
      <w:marRight w:val="0"/>
      <w:marTop w:val="0"/>
      <w:marBottom w:val="0"/>
      <w:divBdr>
        <w:top w:val="none" w:sz="0" w:space="0" w:color="auto"/>
        <w:left w:val="none" w:sz="0" w:space="0" w:color="auto"/>
        <w:bottom w:val="none" w:sz="0" w:space="0" w:color="auto"/>
        <w:right w:val="none" w:sz="0" w:space="0" w:color="auto"/>
      </w:divBdr>
    </w:div>
    <w:div w:id="641008774">
      <w:bodyDiv w:val="1"/>
      <w:marLeft w:val="0"/>
      <w:marRight w:val="0"/>
      <w:marTop w:val="0"/>
      <w:marBottom w:val="0"/>
      <w:divBdr>
        <w:top w:val="none" w:sz="0" w:space="0" w:color="auto"/>
        <w:left w:val="none" w:sz="0" w:space="0" w:color="auto"/>
        <w:bottom w:val="none" w:sz="0" w:space="0" w:color="auto"/>
        <w:right w:val="none" w:sz="0" w:space="0" w:color="auto"/>
      </w:divBdr>
    </w:div>
    <w:div w:id="657541551">
      <w:bodyDiv w:val="1"/>
      <w:marLeft w:val="0"/>
      <w:marRight w:val="0"/>
      <w:marTop w:val="0"/>
      <w:marBottom w:val="0"/>
      <w:divBdr>
        <w:top w:val="none" w:sz="0" w:space="0" w:color="auto"/>
        <w:left w:val="none" w:sz="0" w:space="0" w:color="auto"/>
        <w:bottom w:val="none" w:sz="0" w:space="0" w:color="auto"/>
        <w:right w:val="none" w:sz="0" w:space="0" w:color="auto"/>
      </w:divBdr>
    </w:div>
    <w:div w:id="658272268">
      <w:bodyDiv w:val="1"/>
      <w:marLeft w:val="0"/>
      <w:marRight w:val="0"/>
      <w:marTop w:val="0"/>
      <w:marBottom w:val="0"/>
      <w:divBdr>
        <w:top w:val="none" w:sz="0" w:space="0" w:color="auto"/>
        <w:left w:val="none" w:sz="0" w:space="0" w:color="auto"/>
        <w:bottom w:val="none" w:sz="0" w:space="0" w:color="auto"/>
        <w:right w:val="none" w:sz="0" w:space="0" w:color="auto"/>
      </w:divBdr>
    </w:div>
    <w:div w:id="659232063">
      <w:bodyDiv w:val="1"/>
      <w:marLeft w:val="0"/>
      <w:marRight w:val="0"/>
      <w:marTop w:val="0"/>
      <w:marBottom w:val="0"/>
      <w:divBdr>
        <w:top w:val="none" w:sz="0" w:space="0" w:color="auto"/>
        <w:left w:val="none" w:sz="0" w:space="0" w:color="auto"/>
        <w:bottom w:val="none" w:sz="0" w:space="0" w:color="auto"/>
        <w:right w:val="none" w:sz="0" w:space="0" w:color="auto"/>
      </w:divBdr>
    </w:div>
    <w:div w:id="661928534">
      <w:bodyDiv w:val="1"/>
      <w:marLeft w:val="0"/>
      <w:marRight w:val="0"/>
      <w:marTop w:val="0"/>
      <w:marBottom w:val="0"/>
      <w:divBdr>
        <w:top w:val="none" w:sz="0" w:space="0" w:color="auto"/>
        <w:left w:val="none" w:sz="0" w:space="0" w:color="auto"/>
        <w:bottom w:val="none" w:sz="0" w:space="0" w:color="auto"/>
        <w:right w:val="none" w:sz="0" w:space="0" w:color="auto"/>
      </w:divBdr>
    </w:div>
    <w:div w:id="667440804">
      <w:bodyDiv w:val="1"/>
      <w:marLeft w:val="0"/>
      <w:marRight w:val="0"/>
      <w:marTop w:val="0"/>
      <w:marBottom w:val="0"/>
      <w:divBdr>
        <w:top w:val="none" w:sz="0" w:space="0" w:color="auto"/>
        <w:left w:val="none" w:sz="0" w:space="0" w:color="auto"/>
        <w:bottom w:val="none" w:sz="0" w:space="0" w:color="auto"/>
        <w:right w:val="none" w:sz="0" w:space="0" w:color="auto"/>
      </w:divBdr>
    </w:div>
    <w:div w:id="671757774">
      <w:bodyDiv w:val="1"/>
      <w:marLeft w:val="0"/>
      <w:marRight w:val="0"/>
      <w:marTop w:val="0"/>
      <w:marBottom w:val="0"/>
      <w:divBdr>
        <w:top w:val="none" w:sz="0" w:space="0" w:color="auto"/>
        <w:left w:val="none" w:sz="0" w:space="0" w:color="auto"/>
        <w:bottom w:val="none" w:sz="0" w:space="0" w:color="auto"/>
        <w:right w:val="none" w:sz="0" w:space="0" w:color="auto"/>
      </w:divBdr>
    </w:div>
    <w:div w:id="690376633">
      <w:bodyDiv w:val="1"/>
      <w:marLeft w:val="0"/>
      <w:marRight w:val="0"/>
      <w:marTop w:val="0"/>
      <w:marBottom w:val="0"/>
      <w:divBdr>
        <w:top w:val="none" w:sz="0" w:space="0" w:color="auto"/>
        <w:left w:val="none" w:sz="0" w:space="0" w:color="auto"/>
        <w:bottom w:val="none" w:sz="0" w:space="0" w:color="auto"/>
        <w:right w:val="none" w:sz="0" w:space="0" w:color="auto"/>
      </w:divBdr>
    </w:div>
    <w:div w:id="697895621">
      <w:bodyDiv w:val="1"/>
      <w:marLeft w:val="0"/>
      <w:marRight w:val="0"/>
      <w:marTop w:val="0"/>
      <w:marBottom w:val="0"/>
      <w:divBdr>
        <w:top w:val="none" w:sz="0" w:space="0" w:color="auto"/>
        <w:left w:val="none" w:sz="0" w:space="0" w:color="auto"/>
        <w:bottom w:val="none" w:sz="0" w:space="0" w:color="auto"/>
        <w:right w:val="none" w:sz="0" w:space="0" w:color="auto"/>
      </w:divBdr>
    </w:div>
    <w:div w:id="711613025">
      <w:bodyDiv w:val="1"/>
      <w:marLeft w:val="0"/>
      <w:marRight w:val="0"/>
      <w:marTop w:val="0"/>
      <w:marBottom w:val="0"/>
      <w:divBdr>
        <w:top w:val="none" w:sz="0" w:space="0" w:color="auto"/>
        <w:left w:val="none" w:sz="0" w:space="0" w:color="auto"/>
        <w:bottom w:val="none" w:sz="0" w:space="0" w:color="auto"/>
        <w:right w:val="none" w:sz="0" w:space="0" w:color="auto"/>
      </w:divBdr>
    </w:div>
    <w:div w:id="722020874">
      <w:bodyDiv w:val="1"/>
      <w:marLeft w:val="0"/>
      <w:marRight w:val="0"/>
      <w:marTop w:val="0"/>
      <w:marBottom w:val="0"/>
      <w:divBdr>
        <w:top w:val="none" w:sz="0" w:space="0" w:color="auto"/>
        <w:left w:val="none" w:sz="0" w:space="0" w:color="auto"/>
        <w:bottom w:val="none" w:sz="0" w:space="0" w:color="auto"/>
        <w:right w:val="none" w:sz="0" w:space="0" w:color="auto"/>
      </w:divBdr>
    </w:div>
    <w:div w:id="725761579">
      <w:bodyDiv w:val="1"/>
      <w:marLeft w:val="0"/>
      <w:marRight w:val="0"/>
      <w:marTop w:val="0"/>
      <w:marBottom w:val="0"/>
      <w:divBdr>
        <w:top w:val="none" w:sz="0" w:space="0" w:color="auto"/>
        <w:left w:val="none" w:sz="0" w:space="0" w:color="auto"/>
        <w:bottom w:val="none" w:sz="0" w:space="0" w:color="auto"/>
        <w:right w:val="none" w:sz="0" w:space="0" w:color="auto"/>
      </w:divBdr>
    </w:div>
    <w:div w:id="727726050">
      <w:bodyDiv w:val="1"/>
      <w:marLeft w:val="0"/>
      <w:marRight w:val="0"/>
      <w:marTop w:val="0"/>
      <w:marBottom w:val="0"/>
      <w:divBdr>
        <w:top w:val="none" w:sz="0" w:space="0" w:color="auto"/>
        <w:left w:val="none" w:sz="0" w:space="0" w:color="auto"/>
        <w:bottom w:val="none" w:sz="0" w:space="0" w:color="auto"/>
        <w:right w:val="none" w:sz="0" w:space="0" w:color="auto"/>
      </w:divBdr>
    </w:div>
    <w:div w:id="734006898">
      <w:bodyDiv w:val="1"/>
      <w:marLeft w:val="0"/>
      <w:marRight w:val="0"/>
      <w:marTop w:val="0"/>
      <w:marBottom w:val="0"/>
      <w:divBdr>
        <w:top w:val="none" w:sz="0" w:space="0" w:color="auto"/>
        <w:left w:val="none" w:sz="0" w:space="0" w:color="auto"/>
        <w:bottom w:val="none" w:sz="0" w:space="0" w:color="auto"/>
        <w:right w:val="none" w:sz="0" w:space="0" w:color="auto"/>
      </w:divBdr>
    </w:div>
    <w:div w:id="748582923">
      <w:bodyDiv w:val="1"/>
      <w:marLeft w:val="0"/>
      <w:marRight w:val="0"/>
      <w:marTop w:val="0"/>
      <w:marBottom w:val="0"/>
      <w:divBdr>
        <w:top w:val="none" w:sz="0" w:space="0" w:color="auto"/>
        <w:left w:val="none" w:sz="0" w:space="0" w:color="auto"/>
        <w:bottom w:val="none" w:sz="0" w:space="0" w:color="auto"/>
        <w:right w:val="none" w:sz="0" w:space="0" w:color="auto"/>
      </w:divBdr>
    </w:div>
    <w:div w:id="757822781">
      <w:bodyDiv w:val="1"/>
      <w:marLeft w:val="0"/>
      <w:marRight w:val="0"/>
      <w:marTop w:val="0"/>
      <w:marBottom w:val="0"/>
      <w:divBdr>
        <w:top w:val="none" w:sz="0" w:space="0" w:color="auto"/>
        <w:left w:val="none" w:sz="0" w:space="0" w:color="auto"/>
        <w:bottom w:val="none" w:sz="0" w:space="0" w:color="auto"/>
        <w:right w:val="none" w:sz="0" w:space="0" w:color="auto"/>
      </w:divBdr>
    </w:div>
    <w:div w:id="757991355">
      <w:bodyDiv w:val="1"/>
      <w:marLeft w:val="0"/>
      <w:marRight w:val="0"/>
      <w:marTop w:val="0"/>
      <w:marBottom w:val="0"/>
      <w:divBdr>
        <w:top w:val="none" w:sz="0" w:space="0" w:color="auto"/>
        <w:left w:val="none" w:sz="0" w:space="0" w:color="auto"/>
        <w:bottom w:val="none" w:sz="0" w:space="0" w:color="auto"/>
        <w:right w:val="none" w:sz="0" w:space="0" w:color="auto"/>
      </w:divBdr>
    </w:div>
    <w:div w:id="760182920">
      <w:bodyDiv w:val="1"/>
      <w:marLeft w:val="0"/>
      <w:marRight w:val="0"/>
      <w:marTop w:val="0"/>
      <w:marBottom w:val="0"/>
      <w:divBdr>
        <w:top w:val="none" w:sz="0" w:space="0" w:color="auto"/>
        <w:left w:val="none" w:sz="0" w:space="0" w:color="auto"/>
        <w:bottom w:val="none" w:sz="0" w:space="0" w:color="auto"/>
        <w:right w:val="none" w:sz="0" w:space="0" w:color="auto"/>
      </w:divBdr>
    </w:div>
    <w:div w:id="762918116">
      <w:bodyDiv w:val="1"/>
      <w:marLeft w:val="0"/>
      <w:marRight w:val="0"/>
      <w:marTop w:val="0"/>
      <w:marBottom w:val="0"/>
      <w:divBdr>
        <w:top w:val="none" w:sz="0" w:space="0" w:color="auto"/>
        <w:left w:val="none" w:sz="0" w:space="0" w:color="auto"/>
        <w:bottom w:val="none" w:sz="0" w:space="0" w:color="auto"/>
        <w:right w:val="none" w:sz="0" w:space="0" w:color="auto"/>
      </w:divBdr>
    </w:div>
    <w:div w:id="773983639">
      <w:bodyDiv w:val="1"/>
      <w:marLeft w:val="0"/>
      <w:marRight w:val="0"/>
      <w:marTop w:val="0"/>
      <w:marBottom w:val="0"/>
      <w:divBdr>
        <w:top w:val="none" w:sz="0" w:space="0" w:color="auto"/>
        <w:left w:val="none" w:sz="0" w:space="0" w:color="auto"/>
        <w:bottom w:val="none" w:sz="0" w:space="0" w:color="auto"/>
        <w:right w:val="none" w:sz="0" w:space="0" w:color="auto"/>
      </w:divBdr>
    </w:div>
    <w:div w:id="774591252">
      <w:bodyDiv w:val="1"/>
      <w:marLeft w:val="0"/>
      <w:marRight w:val="0"/>
      <w:marTop w:val="0"/>
      <w:marBottom w:val="0"/>
      <w:divBdr>
        <w:top w:val="none" w:sz="0" w:space="0" w:color="auto"/>
        <w:left w:val="none" w:sz="0" w:space="0" w:color="auto"/>
        <w:bottom w:val="none" w:sz="0" w:space="0" w:color="auto"/>
        <w:right w:val="none" w:sz="0" w:space="0" w:color="auto"/>
      </w:divBdr>
    </w:div>
    <w:div w:id="783963016">
      <w:bodyDiv w:val="1"/>
      <w:marLeft w:val="0"/>
      <w:marRight w:val="0"/>
      <w:marTop w:val="0"/>
      <w:marBottom w:val="0"/>
      <w:divBdr>
        <w:top w:val="none" w:sz="0" w:space="0" w:color="auto"/>
        <w:left w:val="none" w:sz="0" w:space="0" w:color="auto"/>
        <w:bottom w:val="none" w:sz="0" w:space="0" w:color="auto"/>
        <w:right w:val="none" w:sz="0" w:space="0" w:color="auto"/>
      </w:divBdr>
    </w:div>
    <w:div w:id="786201807">
      <w:bodyDiv w:val="1"/>
      <w:marLeft w:val="0"/>
      <w:marRight w:val="0"/>
      <w:marTop w:val="0"/>
      <w:marBottom w:val="0"/>
      <w:divBdr>
        <w:top w:val="none" w:sz="0" w:space="0" w:color="auto"/>
        <w:left w:val="none" w:sz="0" w:space="0" w:color="auto"/>
        <w:bottom w:val="none" w:sz="0" w:space="0" w:color="auto"/>
        <w:right w:val="none" w:sz="0" w:space="0" w:color="auto"/>
      </w:divBdr>
    </w:div>
    <w:div w:id="795486099">
      <w:bodyDiv w:val="1"/>
      <w:marLeft w:val="0"/>
      <w:marRight w:val="0"/>
      <w:marTop w:val="0"/>
      <w:marBottom w:val="0"/>
      <w:divBdr>
        <w:top w:val="none" w:sz="0" w:space="0" w:color="auto"/>
        <w:left w:val="none" w:sz="0" w:space="0" w:color="auto"/>
        <w:bottom w:val="none" w:sz="0" w:space="0" w:color="auto"/>
        <w:right w:val="none" w:sz="0" w:space="0" w:color="auto"/>
      </w:divBdr>
    </w:div>
    <w:div w:id="804548860">
      <w:bodyDiv w:val="1"/>
      <w:marLeft w:val="0"/>
      <w:marRight w:val="0"/>
      <w:marTop w:val="0"/>
      <w:marBottom w:val="0"/>
      <w:divBdr>
        <w:top w:val="none" w:sz="0" w:space="0" w:color="auto"/>
        <w:left w:val="none" w:sz="0" w:space="0" w:color="auto"/>
        <w:bottom w:val="none" w:sz="0" w:space="0" w:color="auto"/>
        <w:right w:val="none" w:sz="0" w:space="0" w:color="auto"/>
      </w:divBdr>
    </w:div>
    <w:div w:id="811361999">
      <w:bodyDiv w:val="1"/>
      <w:marLeft w:val="0"/>
      <w:marRight w:val="0"/>
      <w:marTop w:val="0"/>
      <w:marBottom w:val="0"/>
      <w:divBdr>
        <w:top w:val="none" w:sz="0" w:space="0" w:color="auto"/>
        <w:left w:val="none" w:sz="0" w:space="0" w:color="auto"/>
        <w:bottom w:val="none" w:sz="0" w:space="0" w:color="auto"/>
        <w:right w:val="none" w:sz="0" w:space="0" w:color="auto"/>
      </w:divBdr>
    </w:div>
    <w:div w:id="822044712">
      <w:bodyDiv w:val="1"/>
      <w:marLeft w:val="0"/>
      <w:marRight w:val="0"/>
      <w:marTop w:val="0"/>
      <w:marBottom w:val="0"/>
      <w:divBdr>
        <w:top w:val="none" w:sz="0" w:space="0" w:color="auto"/>
        <w:left w:val="none" w:sz="0" w:space="0" w:color="auto"/>
        <w:bottom w:val="none" w:sz="0" w:space="0" w:color="auto"/>
        <w:right w:val="none" w:sz="0" w:space="0" w:color="auto"/>
      </w:divBdr>
    </w:div>
    <w:div w:id="824472151">
      <w:bodyDiv w:val="1"/>
      <w:marLeft w:val="0"/>
      <w:marRight w:val="0"/>
      <w:marTop w:val="0"/>
      <w:marBottom w:val="0"/>
      <w:divBdr>
        <w:top w:val="none" w:sz="0" w:space="0" w:color="auto"/>
        <w:left w:val="none" w:sz="0" w:space="0" w:color="auto"/>
        <w:bottom w:val="none" w:sz="0" w:space="0" w:color="auto"/>
        <w:right w:val="none" w:sz="0" w:space="0" w:color="auto"/>
      </w:divBdr>
    </w:div>
    <w:div w:id="851339910">
      <w:bodyDiv w:val="1"/>
      <w:marLeft w:val="0"/>
      <w:marRight w:val="0"/>
      <w:marTop w:val="0"/>
      <w:marBottom w:val="0"/>
      <w:divBdr>
        <w:top w:val="none" w:sz="0" w:space="0" w:color="auto"/>
        <w:left w:val="none" w:sz="0" w:space="0" w:color="auto"/>
        <w:bottom w:val="none" w:sz="0" w:space="0" w:color="auto"/>
        <w:right w:val="none" w:sz="0" w:space="0" w:color="auto"/>
      </w:divBdr>
    </w:div>
    <w:div w:id="865560646">
      <w:bodyDiv w:val="1"/>
      <w:marLeft w:val="0"/>
      <w:marRight w:val="0"/>
      <w:marTop w:val="0"/>
      <w:marBottom w:val="0"/>
      <w:divBdr>
        <w:top w:val="none" w:sz="0" w:space="0" w:color="auto"/>
        <w:left w:val="none" w:sz="0" w:space="0" w:color="auto"/>
        <w:bottom w:val="none" w:sz="0" w:space="0" w:color="auto"/>
        <w:right w:val="none" w:sz="0" w:space="0" w:color="auto"/>
      </w:divBdr>
    </w:div>
    <w:div w:id="871840328">
      <w:bodyDiv w:val="1"/>
      <w:marLeft w:val="0"/>
      <w:marRight w:val="0"/>
      <w:marTop w:val="0"/>
      <w:marBottom w:val="0"/>
      <w:divBdr>
        <w:top w:val="none" w:sz="0" w:space="0" w:color="auto"/>
        <w:left w:val="none" w:sz="0" w:space="0" w:color="auto"/>
        <w:bottom w:val="none" w:sz="0" w:space="0" w:color="auto"/>
        <w:right w:val="none" w:sz="0" w:space="0" w:color="auto"/>
      </w:divBdr>
    </w:div>
    <w:div w:id="875316522">
      <w:bodyDiv w:val="1"/>
      <w:marLeft w:val="0"/>
      <w:marRight w:val="0"/>
      <w:marTop w:val="0"/>
      <w:marBottom w:val="0"/>
      <w:divBdr>
        <w:top w:val="none" w:sz="0" w:space="0" w:color="auto"/>
        <w:left w:val="none" w:sz="0" w:space="0" w:color="auto"/>
        <w:bottom w:val="none" w:sz="0" w:space="0" w:color="auto"/>
        <w:right w:val="none" w:sz="0" w:space="0" w:color="auto"/>
      </w:divBdr>
    </w:div>
    <w:div w:id="889151637">
      <w:bodyDiv w:val="1"/>
      <w:marLeft w:val="0"/>
      <w:marRight w:val="0"/>
      <w:marTop w:val="0"/>
      <w:marBottom w:val="0"/>
      <w:divBdr>
        <w:top w:val="none" w:sz="0" w:space="0" w:color="auto"/>
        <w:left w:val="none" w:sz="0" w:space="0" w:color="auto"/>
        <w:bottom w:val="none" w:sz="0" w:space="0" w:color="auto"/>
        <w:right w:val="none" w:sz="0" w:space="0" w:color="auto"/>
      </w:divBdr>
    </w:div>
    <w:div w:id="897665411">
      <w:bodyDiv w:val="1"/>
      <w:marLeft w:val="0"/>
      <w:marRight w:val="0"/>
      <w:marTop w:val="0"/>
      <w:marBottom w:val="0"/>
      <w:divBdr>
        <w:top w:val="none" w:sz="0" w:space="0" w:color="auto"/>
        <w:left w:val="none" w:sz="0" w:space="0" w:color="auto"/>
        <w:bottom w:val="none" w:sz="0" w:space="0" w:color="auto"/>
        <w:right w:val="none" w:sz="0" w:space="0" w:color="auto"/>
      </w:divBdr>
    </w:div>
    <w:div w:id="899172236">
      <w:bodyDiv w:val="1"/>
      <w:marLeft w:val="0"/>
      <w:marRight w:val="0"/>
      <w:marTop w:val="0"/>
      <w:marBottom w:val="0"/>
      <w:divBdr>
        <w:top w:val="none" w:sz="0" w:space="0" w:color="auto"/>
        <w:left w:val="none" w:sz="0" w:space="0" w:color="auto"/>
        <w:bottom w:val="none" w:sz="0" w:space="0" w:color="auto"/>
        <w:right w:val="none" w:sz="0" w:space="0" w:color="auto"/>
      </w:divBdr>
    </w:div>
    <w:div w:id="902638112">
      <w:bodyDiv w:val="1"/>
      <w:marLeft w:val="0"/>
      <w:marRight w:val="0"/>
      <w:marTop w:val="0"/>
      <w:marBottom w:val="0"/>
      <w:divBdr>
        <w:top w:val="none" w:sz="0" w:space="0" w:color="auto"/>
        <w:left w:val="none" w:sz="0" w:space="0" w:color="auto"/>
        <w:bottom w:val="none" w:sz="0" w:space="0" w:color="auto"/>
        <w:right w:val="none" w:sz="0" w:space="0" w:color="auto"/>
      </w:divBdr>
    </w:div>
    <w:div w:id="908275020">
      <w:bodyDiv w:val="1"/>
      <w:marLeft w:val="0"/>
      <w:marRight w:val="0"/>
      <w:marTop w:val="0"/>
      <w:marBottom w:val="0"/>
      <w:divBdr>
        <w:top w:val="none" w:sz="0" w:space="0" w:color="auto"/>
        <w:left w:val="none" w:sz="0" w:space="0" w:color="auto"/>
        <w:bottom w:val="none" w:sz="0" w:space="0" w:color="auto"/>
        <w:right w:val="none" w:sz="0" w:space="0" w:color="auto"/>
      </w:divBdr>
    </w:div>
    <w:div w:id="911818900">
      <w:bodyDiv w:val="1"/>
      <w:marLeft w:val="0"/>
      <w:marRight w:val="0"/>
      <w:marTop w:val="0"/>
      <w:marBottom w:val="0"/>
      <w:divBdr>
        <w:top w:val="none" w:sz="0" w:space="0" w:color="auto"/>
        <w:left w:val="none" w:sz="0" w:space="0" w:color="auto"/>
        <w:bottom w:val="none" w:sz="0" w:space="0" w:color="auto"/>
        <w:right w:val="none" w:sz="0" w:space="0" w:color="auto"/>
      </w:divBdr>
    </w:div>
    <w:div w:id="913390534">
      <w:bodyDiv w:val="1"/>
      <w:marLeft w:val="0"/>
      <w:marRight w:val="0"/>
      <w:marTop w:val="0"/>
      <w:marBottom w:val="0"/>
      <w:divBdr>
        <w:top w:val="none" w:sz="0" w:space="0" w:color="auto"/>
        <w:left w:val="none" w:sz="0" w:space="0" w:color="auto"/>
        <w:bottom w:val="none" w:sz="0" w:space="0" w:color="auto"/>
        <w:right w:val="none" w:sz="0" w:space="0" w:color="auto"/>
      </w:divBdr>
    </w:div>
    <w:div w:id="918834592">
      <w:bodyDiv w:val="1"/>
      <w:marLeft w:val="0"/>
      <w:marRight w:val="0"/>
      <w:marTop w:val="0"/>
      <w:marBottom w:val="0"/>
      <w:divBdr>
        <w:top w:val="none" w:sz="0" w:space="0" w:color="auto"/>
        <w:left w:val="none" w:sz="0" w:space="0" w:color="auto"/>
        <w:bottom w:val="none" w:sz="0" w:space="0" w:color="auto"/>
        <w:right w:val="none" w:sz="0" w:space="0" w:color="auto"/>
      </w:divBdr>
    </w:div>
    <w:div w:id="919677356">
      <w:bodyDiv w:val="1"/>
      <w:marLeft w:val="0"/>
      <w:marRight w:val="0"/>
      <w:marTop w:val="0"/>
      <w:marBottom w:val="0"/>
      <w:divBdr>
        <w:top w:val="none" w:sz="0" w:space="0" w:color="auto"/>
        <w:left w:val="none" w:sz="0" w:space="0" w:color="auto"/>
        <w:bottom w:val="none" w:sz="0" w:space="0" w:color="auto"/>
        <w:right w:val="none" w:sz="0" w:space="0" w:color="auto"/>
      </w:divBdr>
    </w:div>
    <w:div w:id="925068194">
      <w:bodyDiv w:val="1"/>
      <w:marLeft w:val="0"/>
      <w:marRight w:val="0"/>
      <w:marTop w:val="0"/>
      <w:marBottom w:val="0"/>
      <w:divBdr>
        <w:top w:val="none" w:sz="0" w:space="0" w:color="auto"/>
        <w:left w:val="none" w:sz="0" w:space="0" w:color="auto"/>
        <w:bottom w:val="none" w:sz="0" w:space="0" w:color="auto"/>
        <w:right w:val="none" w:sz="0" w:space="0" w:color="auto"/>
      </w:divBdr>
    </w:div>
    <w:div w:id="930428614">
      <w:bodyDiv w:val="1"/>
      <w:marLeft w:val="0"/>
      <w:marRight w:val="0"/>
      <w:marTop w:val="0"/>
      <w:marBottom w:val="0"/>
      <w:divBdr>
        <w:top w:val="none" w:sz="0" w:space="0" w:color="auto"/>
        <w:left w:val="none" w:sz="0" w:space="0" w:color="auto"/>
        <w:bottom w:val="none" w:sz="0" w:space="0" w:color="auto"/>
        <w:right w:val="none" w:sz="0" w:space="0" w:color="auto"/>
      </w:divBdr>
    </w:div>
    <w:div w:id="931357409">
      <w:bodyDiv w:val="1"/>
      <w:marLeft w:val="0"/>
      <w:marRight w:val="0"/>
      <w:marTop w:val="0"/>
      <w:marBottom w:val="0"/>
      <w:divBdr>
        <w:top w:val="none" w:sz="0" w:space="0" w:color="auto"/>
        <w:left w:val="none" w:sz="0" w:space="0" w:color="auto"/>
        <w:bottom w:val="none" w:sz="0" w:space="0" w:color="auto"/>
        <w:right w:val="none" w:sz="0" w:space="0" w:color="auto"/>
      </w:divBdr>
    </w:div>
    <w:div w:id="935135019">
      <w:bodyDiv w:val="1"/>
      <w:marLeft w:val="0"/>
      <w:marRight w:val="0"/>
      <w:marTop w:val="0"/>
      <w:marBottom w:val="0"/>
      <w:divBdr>
        <w:top w:val="none" w:sz="0" w:space="0" w:color="auto"/>
        <w:left w:val="none" w:sz="0" w:space="0" w:color="auto"/>
        <w:bottom w:val="none" w:sz="0" w:space="0" w:color="auto"/>
        <w:right w:val="none" w:sz="0" w:space="0" w:color="auto"/>
      </w:divBdr>
    </w:div>
    <w:div w:id="948970763">
      <w:bodyDiv w:val="1"/>
      <w:marLeft w:val="0"/>
      <w:marRight w:val="0"/>
      <w:marTop w:val="0"/>
      <w:marBottom w:val="0"/>
      <w:divBdr>
        <w:top w:val="none" w:sz="0" w:space="0" w:color="auto"/>
        <w:left w:val="none" w:sz="0" w:space="0" w:color="auto"/>
        <w:bottom w:val="none" w:sz="0" w:space="0" w:color="auto"/>
        <w:right w:val="none" w:sz="0" w:space="0" w:color="auto"/>
      </w:divBdr>
    </w:div>
    <w:div w:id="952370173">
      <w:bodyDiv w:val="1"/>
      <w:marLeft w:val="0"/>
      <w:marRight w:val="0"/>
      <w:marTop w:val="0"/>
      <w:marBottom w:val="0"/>
      <w:divBdr>
        <w:top w:val="none" w:sz="0" w:space="0" w:color="auto"/>
        <w:left w:val="none" w:sz="0" w:space="0" w:color="auto"/>
        <w:bottom w:val="none" w:sz="0" w:space="0" w:color="auto"/>
        <w:right w:val="none" w:sz="0" w:space="0" w:color="auto"/>
      </w:divBdr>
    </w:div>
    <w:div w:id="956764980">
      <w:bodyDiv w:val="1"/>
      <w:marLeft w:val="0"/>
      <w:marRight w:val="0"/>
      <w:marTop w:val="0"/>
      <w:marBottom w:val="0"/>
      <w:divBdr>
        <w:top w:val="none" w:sz="0" w:space="0" w:color="auto"/>
        <w:left w:val="none" w:sz="0" w:space="0" w:color="auto"/>
        <w:bottom w:val="none" w:sz="0" w:space="0" w:color="auto"/>
        <w:right w:val="none" w:sz="0" w:space="0" w:color="auto"/>
      </w:divBdr>
    </w:div>
    <w:div w:id="967200265">
      <w:bodyDiv w:val="1"/>
      <w:marLeft w:val="0"/>
      <w:marRight w:val="0"/>
      <w:marTop w:val="0"/>
      <w:marBottom w:val="0"/>
      <w:divBdr>
        <w:top w:val="none" w:sz="0" w:space="0" w:color="auto"/>
        <w:left w:val="none" w:sz="0" w:space="0" w:color="auto"/>
        <w:bottom w:val="none" w:sz="0" w:space="0" w:color="auto"/>
        <w:right w:val="none" w:sz="0" w:space="0" w:color="auto"/>
      </w:divBdr>
    </w:div>
    <w:div w:id="967393778">
      <w:bodyDiv w:val="1"/>
      <w:marLeft w:val="0"/>
      <w:marRight w:val="0"/>
      <w:marTop w:val="0"/>
      <w:marBottom w:val="0"/>
      <w:divBdr>
        <w:top w:val="none" w:sz="0" w:space="0" w:color="auto"/>
        <w:left w:val="none" w:sz="0" w:space="0" w:color="auto"/>
        <w:bottom w:val="none" w:sz="0" w:space="0" w:color="auto"/>
        <w:right w:val="none" w:sz="0" w:space="0" w:color="auto"/>
      </w:divBdr>
    </w:div>
    <w:div w:id="967862083">
      <w:bodyDiv w:val="1"/>
      <w:marLeft w:val="0"/>
      <w:marRight w:val="0"/>
      <w:marTop w:val="0"/>
      <w:marBottom w:val="0"/>
      <w:divBdr>
        <w:top w:val="none" w:sz="0" w:space="0" w:color="auto"/>
        <w:left w:val="none" w:sz="0" w:space="0" w:color="auto"/>
        <w:bottom w:val="none" w:sz="0" w:space="0" w:color="auto"/>
        <w:right w:val="none" w:sz="0" w:space="0" w:color="auto"/>
      </w:divBdr>
    </w:div>
    <w:div w:id="971859365">
      <w:bodyDiv w:val="1"/>
      <w:marLeft w:val="0"/>
      <w:marRight w:val="0"/>
      <w:marTop w:val="0"/>
      <w:marBottom w:val="0"/>
      <w:divBdr>
        <w:top w:val="none" w:sz="0" w:space="0" w:color="auto"/>
        <w:left w:val="none" w:sz="0" w:space="0" w:color="auto"/>
        <w:bottom w:val="none" w:sz="0" w:space="0" w:color="auto"/>
        <w:right w:val="none" w:sz="0" w:space="0" w:color="auto"/>
      </w:divBdr>
    </w:div>
    <w:div w:id="972827681">
      <w:bodyDiv w:val="1"/>
      <w:marLeft w:val="0"/>
      <w:marRight w:val="0"/>
      <w:marTop w:val="0"/>
      <w:marBottom w:val="0"/>
      <w:divBdr>
        <w:top w:val="none" w:sz="0" w:space="0" w:color="auto"/>
        <w:left w:val="none" w:sz="0" w:space="0" w:color="auto"/>
        <w:bottom w:val="none" w:sz="0" w:space="0" w:color="auto"/>
        <w:right w:val="none" w:sz="0" w:space="0" w:color="auto"/>
      </w:divBdr>
      <w:divsChild>
        <w:div w:id="1698194837">
          <w:marLeft w:val="0"/>
          <w:marRight w:val="0"/>
          <w:marTop w:val="0"/>
          <w:marBottom w:val="0"/>
          <w:divBdr>
            <w:top w:val="none" w:sz="0" w:space="0" w:color="auto"/>
            <w:left w:val="none" w:sz="0" w:space="0" w:color="auto"/>
            <w:bottom w:val="none" w:sz="0" w:space="0" w:color="auto"/>
            <w:right w:val="none" w:sz="0" w:space="0" w:color="auto"/>
          </w:divBdr>
          <w:divsChild>
            <w:div w:id="272171608">
              <w:marLeft w:val="0"/>
              <w:marRight w:val="0"/>
              <w:marTop w:val="0"/>
              <w:marBottom w:val="0"/>
              <w:divBdr>
                <w:top w:val="none" w:sz="0" w:space="0" w:color="auto"/>
                <w:left w:val="none" w:sz="0" w:space="0" w:color="auto"/>
                <w:bottom w:val="none" w:sz="0" w:space="0" w:color="auto"/>
                <w:right w:val="none" w:sz="0" w:space="0" w:color="auto"/>
              </w:divBdr>
              <w:divsChild>
                <w:div w:id="1250701779">
                  <w:marLeft w:val="0"/>
                  <w:marRight w:val="0"/>
                  <w:marTop w:val="0"/>
                  <w:marBottom w:val="0"/>
                  <w:divBdr>
                    <w:top w:val="none" w:sz="0" w:space="0" w:color="auto"/>
                    <w:left w:val="none" w:sz="0" w:space="0" w:color="auto"/>
                    <w:bottom w:val="none" w:sz="0" w:space="0" w:color="auto"/>
                    <w:right w:val="none" w:sz="0" w:space="0" w:color="auto"/>
                  </w:divBdr>
                  <w:divsChild>
                    <w:div w:id="2040886549">
                      <w:marLeft w:val="0"/>
                      <w:marRight w:val="0"/>
                      <w:marTop w:val="0"/>
                      <w:marBottom w:val="0"/>
                      <w:divBdr>
                        <w:top w:val="none" w:sz="0" w:space="0" w:color="auto"/>
                        <w:left w:val="none" w:sz="0" w:space="0" w:color="auto"/>
                        <w:bottom w:val="none" w:sz="0" w:space="0" w:color="auto"/>
                        <w:right w:val="none" w:sz="0" w:space="0" w:color="auto"/>
                      </w:divBdr>
                      <w:divsChild>
                        <w:div w:id="660038005">
                          <w:marLeft w:val="405"/>
                          <w:marRight w:val="0"/>
                          <w:marTop w:val="0"/>
                          <w:marBottom w:val="0"/>
                          <w:divBdr>
                            <w:top w:val="none" w:sz="0" w:space="0" w:color="auto"/>
                            <w:left w:val="none" w:sz="0" w:space="0" w:color="auto"/>
                            <w:bottom w:val="none" w:sz="0" w:space="0" w:color="auto"/>
                            <w:right w:val="none" w:sz="0" w:space="0" w:color="auto"/>
                          </w:divBdr>
                          <w:divsChild>
                            <w:div w:id="370570382">
                              <w:marLeft w:val="0"/>
                              <w:marRight w:val="0"/>
                              <w:marTop w:val="0"/>
                              <w:marBottom w:val="0"/>
                              <w:divBdr>
                                <w:top w:val="none" w:sz="0" w:space="0" w:color="auto"/>
                                <w:left w:val="none" w:sz="0" w:space="0" w:color="auto"/>
                                <w:bottom w:val="none" w:sz="0" w:space="0" w:color="auto"/>
                                <w:right w:val="none" w:sz="0" w:space="0" w:color="auto"/>
                              </w:divBdr>
                              <w:divsChild>
                                <w:div w:id="413087638">
                                  <w:marLeft w:val="0"/>
                                  <w:marRight w:val="0"/>
                                  <w:marTop w:val="0"/>
                                  <w:marBottom w:val="0"/>
                                  <w:divBdr>
                                    <w:top w:val="none" w:sz="0" w:space="0" w:color="auto"/>
                                    <w:left w:val="none" w:sz="0" w:space="0" w:color="auto"/>
                                    <w:bottom w:val="none" w:sz="0" w:space="0" w:color="auto"/>
                                    <w:right w:val="none" w:sz="0" w:space="0" w:color="auto"/>
                                  </w:divBdr>
                                  <w:divsChild>
                                    <w:div w:id="2030174676">
                                      <w:marLeft w:val="0"/>
                                      <w:marRight w:val="0"/>
                                      <w:marTop w:val="60"/>
                                      <w:marBottom w:val="0"/>
                                      <w:divBdr>
                                        <w:top w:val="none" w:sz="0" w:space="0" w:color="auto"/>
                                        <w:left w:val="none" w:sz="0" w:space="0" w:color="auto"/>
                                        <w:bottom w:val="none" w:sz="0" w:space="0" w:color="auto"/>
                                        <w:right w:val="none" w:sz="0" w:space="0" w:color="auto"/>
                                      </w:divBdr>
                                      <w:divsChild>
                                        <w:div w:id="1101953990">
                                          <w:marLeft w:val="0"/>
                                          <w:marRight w:val="0"/>
                                          <w:marTop w:val="0"/>
                                          <w:marBottom w:val="0"/>
                                          <w:divBdr>
                                            <w:top w:val="none" w:sz="0" w:space="0" w:color="auto"/>
                                            <w:left w:val="none" w:sz="0" w:space="0" w:color="auto"/>
                                            <w:bottom w:val="none" w:sz="0" w:space="0" w:color="auto"/>
                                            <w:right w:val="none" w:sz="0" w:space="0" w:color="auto"/>
                                          </w:divBdr>
                                          <w:divsChild>
                                            <w:div w:id="1127240338">
                                              <w:marLeft w:val="0"/>
                                              <w:marRight w:val="0"/>
                                              <w:marTop w:val="0"/>
                                              <w:marBottom w:val="0"/>
                                              <w:divBdr>
                                                <w:top w:val="none" w:sz="0" w:space="0" w:color="auto"/>
                                                <w:left w:val="none" w:sz="0" w:space="0" w:color="auto"/>
                                                <w:bottom w:val="none" w:sz="0" w:space="0" w:color="auto"/>
                                                <w:right w:val="none" w:sz="0" w:space="0" w:color="auto"/>
                                              </w:divBdr>
                                              <w:divsChild>
                                                <w:div w:id="1934706378">
                                                  <w:marLeft w:val="0"/>
                                                  <w:marRight w:val="0"/>
                                                  <w:marTop w:val="0"/>
                                                  <w:marBottom w:val="0"/>
                                                  <w:divBdr>
                                                    <w:top w:val="none" w:sz="0" w:space="0" w:color="auto"/>
                                                    <w:left w:val="none" w:sz="0" w:space="0" w:color="auto"/>
                                                    <w:bottom w:val="none" w:sz="0" w:space="0" w:color="auto"/>
                                                    <w:right w:val="none" w:sz="0" w:space="0" w:color="auto"/>
                                                  </w:divBdr>
                                                  <w:divsChild>
                                                    <w:div w:id="1612979802">
                                                      <w:marLeft w:val="0"/>
                                                      <w:marRight w:val="0"/>
                                                      <w:marTop w:val="0"/>
                                                      <w:marBottom w:val="0"/>
                                                      <w:divBdr>
                                                        <w:top w:val="none" w:sz="0" w:space="0" w:color="auto"/>
                                                        <w:left w:val="none" w:sz="0" w:space="0" w:color="auto"/>
                                                        <w:bottom w:val="none" w:sz="0" w:space="0" w:color="auto"/>
                                                        <w:right w:val="none" w:sz="0" w:space="0" w:color="auto"/>
                                                      </w:divBdr>
                                                      <w:divsChild>
                                                        <w:div w:id="110131257">
                                                          <w:marLeft w:val="0"/>
                                                          <w:marRight w:val="0"/>
                                                          <w:marTop w:val="0"/>
                                                          <w:marBottom w:val="0"/>
                                                          <w:divBdr>
                                                            <w:top w:val="none" w:sz="0" w:space="0" w:color="auto"/>
                                                            <w:left w:val="none" w:sz="0" w:space="0" w:color="auto"/>
                                                            <w:bottom w:val="none" w:sz="0" w:space="0" w:color="auto"/>
                                                            <w:right w:val="none" w:sz="0" w:space="0" w:color="auto"/>
                                                          </w:divBdr>
                                                          <w:divsChild>
                                                            <w:div w:id="1578589237">
                                                              <w:marLeft w:val="0"/>
                                                              <w:marRight w:val="0"/>
                                                              <w:marTop w:val="0"/>
                                                              <w:marBottom w:val="0"/>
                                                              <w:divBdr>
                                                                <w:top w:val="none" w:sz="0" w:space="0" w:color="auto"/>
                                                                <w:left w:val="none" w:sz="0" w:space="0" w:color="auto"/>
                                                                <w:bottom w:val="none" w:sz="0" w:space="0" w:color="auto"/>
                                                                <w:right w:val="none" w:sz="0" w:space="0" w:color="auto"/>
                                                              </w:divBdr>
                                                              <w:divsChild>
                                                                <w:div w:id="90470961">
                                                                  <w:marLeft w:val="0"/>
                                                                  <w:marRight w:val="0"/>
                                                                  <w:marTop w:val="0"/>
                                                                  <w:marBottom w:val="0"/>
                                                                  <w:divBdr>
                                                                    <w:top w:val="none" w:sz="0" w:space="0" w:color="auto"/>
                                                                    <w:left w:val="none" w:sz="0" w:space="0" w:color="auto"/>
                                                                    <w:bottom w:val="none" w:sz="0" w:space="0" w:color="auto"/>
                                                                    <w:right w:val="none" w:sz="0" w:space="0" w:color="auto"/>
                                                                  </w:divBdr>
                                                                  <w:divsChild>
                                                                    <w:div w:id="2129815146">
                                                                      <w:marLeft w:val="0"/>
                                                                      <w:marRight w:val="0"/>
                                                                      <w:marTop w:val="0"/>
                                                                      <w:marBottom w:val="0"/>
                                                                      <w:divBdr>
                                                                        <w:top w:val="none" w:sz="0" w:space="0" w:color="auto"/>
                                                                        <w:left w:val="none" w:sz="0" w:space="0" w:color="auto"/>
                                                                        <w:bottom w:val="none" w:sz="0" w:space="0" w:color="auto"/>
                                                                        <w:right w:val="none" w:sz="0" w:space="0" w:color="auto"/>
                                                                      </w:divBdr>
                                                                      <w:divsChild>
                                                                        <w:div w:id="9621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851088">
      <w:bodyDiv w:val="1"/>
      <w:marLeft w:val="0"/>
      <w:marRight w:val="0"/>
      <w:marTop w:val="0"/>
      <w:marBottom w:val="0"/>
      <w:divBdr>
        <w:top w:val="none" w:sz="0" w:space="0" w:color="auto"/>
        <w:left w:val="none" w:sz="0" w:space="0" w:color="auto"/>
        <w:bottom w:val="none" w:sz="0" w:space="0" w:color="auto"/>
        <w:right w:val="none" w:sz="0" w:space="0" w:color="auto"/>
      </w:divBdr>
    </w:div>
    <w:div w:id="988291147">
      <w:bodyDiv w:val="1"/>
      <w:marLeft w:val="0"/>
      <w:marRight w:val="0"/>
      <w:marTop w:val="0"/>
      <w:marBottom w:val="0"/>
      <w:divBdr>
        <w:top w:val="none" w:sz="0" w:space="0" w:color="auto"/>
        <w:left w:val="none" w:sz="0" w:space="0" w:color="auto"/>
        <w:bottom w:val="none" w:sz="0" w:space="0" w:color="auto"/>
        <w:right w:val="none" w:sz="0" w:space="0" w:color="auto"/>
      </w:divBdr>
    </w:div>
    <w:div w:id="989792139">
      <w:bodyDiv w:val="1"/>
      <w:marLeft w:val="0"/>
      <w:marRight w:val="0"/>
      <w:marTop w:val="0"/>
      <w:marBottom w:val="0"/>
      <w:divBdr>
        <w:top w:val="none" w:sz="0" w:space="0" w:color="auto"/>
        <w:left w:val="none" w:sz="0" w:space="0" w:color="auto"/>
        <w:bottom w:val="none" w:sz="0" w:space="0" w:color="auto"/>
        <w:right w:val="none" w:sz="0" w:space="0" w:color="auto"/>
      </w:divBdr>
    </w:div>
    <w:div w:id="989866688">
      <w:bodyDiv w:val="1"/>
      <w:marLeft w:val="0"/>
      <w:marRight w:val="0"/>
      <w:marTop w:val="0"/>
      <w:marBottom w:val="0"/>
      <w:divBdr>
        <w:top w:val="none" w:sz="0" w:space="0" w:color="auto"/>
        <w:left w:val="none" w:sz="0" w:space="0" w:color="auto"/>
        <w:bottom w:val="none" w:sz="0" w:space="0" w:color="auto"/>
        <w:right w:val="none" w:sz="0" w:space="0" w:color="auto"/>
      </w:divBdr>
    </w:div>
    <w:div w:id="998074139">
      <w:bodyDiv w:val="1"/>
      <w:marLeft w:val="0"/>
      <w:marRight w:val="0"/>
      <w:marTop w:val="0"/>
      <w:marBottom w:val="0"/>
      <w:divBdr>
        <w:top w:val="none" w:sz="0" w:space="0" w:color="auto"/>
        <w:left w:val="none" w:sz="0" w:space="0" w:color="auto"/>
        <w:bottom w:val="none" w:sz="0" w:space="0" w:color="auto"/>
        <w:right w:val="none" w:sz="0" w:space="0" w:color="auto"/>
      </w:divBdr>
    </w:div>
    <w:div w:id="1015767196">
      <w:bodyDiv w:val="1"/>
      <w:marLeft w:val="0"/>
      <w:marRight w:val="0"/>
      <w:marTop w:val="0"/>
      <w:marBottom w:val="0"/>
      <w:divBdr>
        <w:top w:val="none" w:sz="0" w:space="0" w:color="auto"/>
        <w:left w:val="none" w:sz="0" w:space="0" w:color="auto"/>
        <w:bottom w:val="none" w:sz="0" w:space="0" w:color="auto"/>
        <w:right w:val="none" w:sz="0" w:space="0" w:color="auto"/>
      </w:divBdr>
    </w:div>
    <w:div w:id="1035354053">
      <w:bodyDiv w:val="1"/>
      <w:marLeft w:val="0"/>
      <w:marRight w:val="0"/>
      <w:marTop w:val="0"/>
      <w:marBottom w:val="0"/>
      <w:divBdr>
        <w:top w:val="none" w:sz="0" w:space="0" w:color="auto"/>
        <w:left w:val="none" w:sz="0" w:space="0" w:color="auto"/>
        <w:bottom w:val="none" w:sz="0" w:space="0" w:color="auto"/>
        <w:right w:val="none" w:sz="0" w:space="0" w:color="auto"/>
      </w:divBdr>
    </w:div>
    <w:div w:id="1036276622">
      <w:bodyDiv w:val="1"/>
      <w:marLeft w:val="0"/>
      <w:marRight w:val="0"/>
      <w:marTop w:val="0"/>
      <w:marBottom w:val="0"/>
      <w:divBdr>
        <w:top w:val="none" w:sz="0" w:space="0" w:color="auto"/>
        <w:left w:val="none" w:sz="0" w:space="0" w:color="auto"/>
        <w:bottom w:val="none" w:sz="0" w:space="0" w:color="auto"/>
        <w:right w:val="none" w:sz="0" w:space="0" w:color="auto"/>
      </w:divBdr>
    </w:div>
    <w:div w:id="1038824160">
      <w:bodyDiv w:val="1"/>
      <w:marLeft w:val="0"/>
      <w:marRight w:val="0"/>
      <w:marTop w:val="0"/>
      <w:marBottom w:val="0"/>
      <w:divBdr>
        <w:top w:val="none" w:sz="0" w:space="0" w:color="auto"/>
        <w:left w:val="none" w:sz="0" w:space="0" w:color="auto"/>
        <w:bottom w:val="none" w:sz="0" w:space="0" w:color="auto"/>
        <w:right w:val="none" w:sz="0" w:space="0" w:color="auto"/>
      </w:divBdr>
    </w:div>
    <w:div w:id="1042755237">
      <w:bodyDiv w:val="1"/>
      <w:marLeft w:val="0"/>
      <w:marRight w:val="0"/>
      <w:marTop w:val="0"/>
      <w:marBottom w:val="0"/>
      <w:divBdr>
        <w:top w:val="none" w:sz="0" w:space="0" w:color="auto"/>
        <w:left w:val="none" w:sz="0" w:space="0" w:color="auto"/>
        <w:bottom w:val="none" w:sz="0" w:space="0" w:color="auto"/>
        <w:right w:val="none" w:sz="0" w:space="0" w:color="auto"/>
      </w:divBdr>
      <w:divsChild>
        <w:div w:id="162609">
          <w:marLeft w:val="0"/>
          <w:marRight w:val="0"/>
          <w:marTop w:val="0"/>
          <w:marBottom w:val="0"/>
          <w:divBdr>
            <w:top w:val="none" w:sz="0" w:space="0" w:color="auto"/>
            <w:left w:val="none" w:sz="0" w:space="0" w:color="auto"/>
            <w:bottom w:val="none" w:sz="0" w:space="0" w:color="auto"/>
            <w:right w:val="none" w:sz="0" w:space="0" w:color="auto"/>
          </w:divBdr>
          <w:divsChild>
            <w:div w:id="1505825036">
              <w:marLeft w:val="0"/>
              <w:marRight w:val="0"/>
              <w:marTop w:val="0"/>
              <w:marBottom w:val="0"/>
              <w:divBdr>
                <w:top w:val="none" w:sz="0" w:space="0" w:color="auto"/>
                <w:left w:val="none" w:sz="0" w:space="0" w:color="auto"/>
                <w:bottom w:val="none" w:sz="0" w:space="0" w:color="auto"/>
                <w:right w:val="none" w:sz="0" w:space="0" w:color="auto"/>
              </w:divBdr>
              <w:divsChild>
                <w:div w:id="786704823">
                  <w:marLeft w:val="0"/>
                  <w:marRight w:val="0"/>
                  <w:marTop w:val="0"/>
                  <w:marBottom w:val="0"/>
                  <w:divBdr>
                    <w:top w:val="none" w:sz="0" w:space="0" w:color="auto"/>
                    <w:left w:val="none" w:sz="0" w:space="0" w:color="auto"/>
                    <w:bottom w:val="none" w:sz="0" w:space="0" w:color="auto"/>
                    <w:right w:val="none" w:sz="0" w:space="0" w:color="auto"/>
                  </w:divBdr>
                  <w:divsChild>
                    <w:div w:id="962811651">
                      <w:marLeft w:val="0"/>
                      <w:marRight w:val="0"/>
                      <w:marTop w:val="0"/>
                      <w:marBottom w:val="0"/>
                      <w:divBdr>
                        <w:top w:val="none" w:sz="0" w:space="0" w:color="auto"/>
                        <w:left w:val="none" w:sz="0" w:space="0" w:color="auto"/>
                        <w:bottom w:val="none" w:sz="0" w:space="0" w:color="auto"/>
                        <w:right w:val="none" w:sz="0" w:space="0" w:color="auto"/>
                      </w:divBdr>
                      <w:divsChild>
                        <w:div w:id="1496720281">
                          <w:marLeft w:val="0"/>
                          <w:marRight w:val="0"/>
                          <w:marTop w:val="0"/>
                          <w:marBottom w:val="0"/>
                          <w:divBdr>
                            <w:top w:val="none" w:sz="0" w:space="0" w:color="auto"/>
                            <w:left w:val="none" w:sz="0" w:space="0" w:color="auto"/>
                            <w:bottom w:val="none" w:sz="0" w:space="0" w:color="auto"/>
                            <w:right w:val="none" w:sz="0" w:space="0" w:color="auto"/>
                          </w:divBdr>
                          <w:divsChild>
                            <w:div w:id="910844900">
                              <w:marLeft w:val="15"/>
                              <w:marRight w:val="195"/>
                              <w:marTop w:val="0"/>
                              <w:marBottom w:val="0"/>
                              <w:divBdr>
                                <w:top w:val="none" w:sz="0" w:space="0" w:color="auto"/>
                                <w:left w:val="none" w:sz="0" w:space="0" w:color="auto"/>
                                <w:bottom w:val="none" w:sz="0" w:space="0" w:color="auto"/>
                                <w:right w:val="none" w:sz="0" w:space="0" w:color="auto"/>
                              </w:divBdr>
                              <w:divsChild>
                                <w:div w:id="461386673">
                                  <w:marLeft w:val="0"/>
                                  <w:marRight w:val="0"/>
                                  <w:marTop w:val="0"/>
                                  <w:marBottom w:val="0"/>
                                  <w:divBdr>
                                    <w:top w:val="none" w:sz="0" w:space="0" w:color="auto"/>
                                    <w:left w:val="none" w:sz="0" w:space="0" w:color="auto"/>
                                    <w:bottom w:val="none" w:sz="0" w:space="0" w:color="auto"/>
                                    <w:right w:val="none" w:sz="0" w:space="0" w:color="auto"/>
                                  </w:divBdr>
                                  <w:divsChild>
                                    <w:div w:id="1027605391">
                                      <w:marLeft w:val="0"/>
                                      <w:marRight w:val="0"/>
                                      <w:marTop w:val="0"/>
                                      <w:marBottom w:val="0"/>
                                      <w:divBdr>
                                        <w:top w:val="none" w:sz="0" w:space="0" w:color="auto"/>
                                        <w:left w:val="none" w:sz="0" w:space="0" w:color="auto"/>
                                        <w:bottom w:val="none" w:sz="0" w:space="0" w:color="auto"/>
                                        <w:right w:val="none" w:sz="0" w:space="0" w:color="auto"/>
                                      </w:divBdr>
                                      <w:divsChild>
                                        <w:div w:id="40518729">
                                          <w:marLeft w:val="0"/>
                                          <w:marRight w:val="0"/>
                                          <w:marTop w:val="0"/>
                                          <w:marBottom w:val="0"/>
                                          <w:divBdr>
                                            <w:top w:val="none" w:sz="0" w:space="0" w:color="auto"/>
                                            <w:left w:val="none" w:sz="0" w:space="0" w:color="auto"/>
                                            <w:bottom w:val="none" w:sz="0" w:space="0" w:color="auto"/>
                                            <w:right w:val="none" w:sz="0" w:space="0" w:color="auto"/>
                                          </w:divBdr>
                                          <w:divsChild>
                                            <w:div w:id="1805922781">
                                              <w:marLeft w:val="0"/>
                                              <w:marRight w:val="0"/>
                                              <w:marTop w:val="0"/>
                                              <w:marBottom w:val="0"/>
                                              <w:divBdr>
                                                <w:top w:val="none" w:sz="0" w:space="0" w:color="auto"/>
                                                <w:left w:val="none" w:sz="0" w:space="0" w:color="auto"/>
                                                <w:bottom w:val="none" w:sz="0" w:space="0" w:color="auto"/>
                                                <w:right w:val="none" w:sz="0" w:space="0" w:color="auto"/>
                                              </w:divBdr>
                                              <w:divsChild>
                                                <w:div w:id="429743527">
                                                  <w:marLeft w:val="0"/>
                                                  <w:marRight w:val="0"/>
                                                  <w:marTop w:val="0"/>
                                                  <w:marBottom w:val="0"/>
                                                  <w:divBdr>
                                                    <w:top w:val="none" w:sz="0" w:space="0" w:color="auto"/>
                                                    <w:left w:val="none" w:sz="0" w:space="0" w:color="auto"/>
                                                    <w:bottom w:val="none" w:sz="0" w:space="0" w:color="auto"/>
                                                    <w:right w:val="none" w:sz="0" w:space="0" w:color="auto"/>
                                                  </w:divBdr>
                                                  <w:divsChild>
                                                    <w:div w:id="1160846779">
                                                      <w:marLeft w:val="0"/>
                                                      <w:marRight w:val="0"/>
                                                      <w:marTop w:val="0"/>
                                                      <w:marBottom w:val="0"/>
                                                      <w:divBdr>
                                                        <w:top w:val="none" w:sz="0" w:space="0" w:color="auto"/>
                                                        <w:left w:val="none" w:sz="0" w:space="0" w:color="auto"/>
                                                        <w:bottom w:val="none" w:sz="0" w:space="0" w:color="auto"/>
                                                        <w:right w:val="none" w:sz="0" w:space="0" w:color="auto"/>
                                                      </w:divBdr>
                                                      <w:divsChild>
                                                        <w:div w:id="774053461">
                                                          <w:marLeft w:val="0"/>
                                                          <w:marRight w:val="0"/>
                                                          <w:marTop w:val="0"/>
                                                          <w:marBottom w:val="0"/>
                                                          <w:divBdr>
                                                            <w:top w:val="none" w:sz="0" w:space="0" w:color="auto"/>
                                                            <w:left w:val="none" w:sz="0" w:space="0" w:color="auto"/>
                                                            <w:bottom w:val="none" w:sz="0" w:space="0" w:color="auto"/>
                                                            <w:right w:val="none" w:sz="0" w:space="0" w:color="auto"/>
                                                          </w:divBdr>
                                                          <w:divsChild>
                                                            <w:div w:id="713239860">
                                                              <w:marLeft w:val="0"/>
                                                              <w:marRight w:val="0"/>
                                                              <w:marTop w:val="0"/>
                                                              <w:marBottom w:val="0"/>
                                                              <w:divBdr>
                                                                <w:top w:val="none" w:sz="0" w:space="0" w:color="auto"/>
                                                                <w:left w:val="none" w:sz="0" w:space="0" w:color="auto"/>
                                                                <w:bottom w:val="none" w:sz="0" w:space="0" w:color="auto"/>
                                                                <w:right w:val="none" w:sz="0" w:space="0" w:color="auto"/>
                                                              </w:divBdr>
                                                              <w:divsChild>
                                                                <w:div w:id="1047610497">
                                                                  <w:marLeft w:val="0"/>
                                                                  <w:marRight w:val="0"/>
                                                                  <w:marTop w:val="0"/>
                                                                  <w:marBottom w:val="0"/>
                                                                  <w:divBdr>
                                                                    <w:top w:val="none" w:sz="0" w:space="0" w:color="auto"/>
                                                                    <w:left w:val="none" w:sz="0" w:space="0" w:color="auto"/>
                                                                    <w:bottom w:val="none" w:sz="0" w:space="0" w:color="auto"/>
                                                                    <w:right w:val="none" w:sz="0" w:space="0" w:color="auto"/>
                                                                  </w:divBdr>
                                                                  <w:divsChild>
                                                                    <w:div w:id="1939367891">
                                                                      <w:marLeft w:val="405"/>
                                                                      <w:marRight w:val="0"/>
                                                                      <w:marTop w:val="0"/>
                                                                      <w:marBottom w:val="0"/>
                                                                      <w:divBdr>
                                                                        <w:top w:val="none" w:sz="0" w:space="0" w:color="auto"/>
                                                                        <w:left w:val="none" w:sz="0" w:space="0" w:color="auto"/>
                                                                        <w:bottom w:val="none" w:sz="0" w:space="0" w:color="auto"/>
                                                                        <w:right w:val="none" w:sz="0" w:space="0" w:color="auto"/>
                                                                      </w:divBdr>
                                                                      <w:divsChild>
                                                                        <w:div w:id="1677421328">
                                                                          <w:marLeft w:val="0"/>
                                                                          <w:marRight w:val="0"/>
                                                                          <w:marTop w:val="0"/>
                                                                          <w:marBottom w:val="0"/>
                                                                          <w:divBdr>
                                                                            <w:top w:val="none" w:sz="0" w:space="0" w:color="auto"/>
                                                                            <w:left w:val="none" w:sz="0" w:space="0" w:color="auto"/>
                                                                            <w:bottom w:val="none" w:sz="0" w:space="0" w:color="auto"/>
                                                                            <w:right w:val="none" w:sz="0" w:space="0" w:color="auto"/>
                                                                          </w:divBdr>
                                                                          <w:divsChild>
                                                                            <w:div w:id="1039083852">
                                                                              <w:marLeft w:val="0"/>
                                                                              <w:marRight w:val="0"/>
                                                                              <w:marTop w:val="0"/>
                                                                              <w:marBottom w:val="0"/>
                                                                              <w:divBdr>
                                                                                <w:top w:val="none" w:sz="0" w:space="0" w:color="auto"/>
                                                                                <w:left w:val="none" w:sz="0" w:space="0" w:color="auto"/>
                                                                                <w:bottom w:val="none" w:sz="0" w:space="0" w:color="auto"/>
                                                                                <w:right w:val="none" w:sz="0" w:space="0" w:color="auto"/>
                                                                              </w:divBdr>
                                                                              <w:divsChild>
                                                                                <w:div w:id="1047069247">
                                                                                  <w:marLeft w:val="0"/>
                                                                                  <w:marRight w:val="0"/>
                                                                                  <w:marTop w:val="0"/>
                                                                                  <w:marBottom w:val="0"/>
                                                                                  <w:divBdr>
                                                                                    <w:top w:val="none" w:sz="0" w:space="0" w:color="auto"/>
                                                                                    <w:left w:val="none" w:sz="0" w:space="0" w:color="auto"/>
                                                                                    <w:bottom w:val="none" w:sz="0" w:space="0" w:color="auto"/>
                                                                                    <w:right w:val="none" w:sz="0" w:space="0" w:color="auto"/>
                                                                                  </w:divBdr>
                                                                                  <w:divsChild>
                                                                                    <w:div w:id="1825006464">
                                                                                      <w:marLeft w:val="0"/>
                                                                                      <w:marRight w:val="0"/>
                                                                                      <w:marTop w:val="0"/>
                                                                                      <w:marBottom w:val="0"/>
                                                                                      <w:divBdr>
                                                                                        <w:top w:val="none" w:sz="0" w:space="0" w:color="auto"/>
                                                                                        <w:left w:val="none" w:sz="0" w:space="0" w:color="auto"/>
                                                                                        <w:bottom w:val="none" w:sz="0" w:space="0" w:color="auto"/>
                                                                                        <w:right w:val="none" w:sz="0" w:space="0" w:color="auto"/>
                                                                                      </w:divBdr>
                                                                                      <w:divsChild>
                                                                                        <w:div w:id="585844006">
                                                                                          <w:marLeft w:val="0"/>
                                                                                          <w:marRight w:val="0"/>
                                                                                          <w:marTop w:val="0"/>
                                                                                          <w:marBottom w:val="0"/>
                                                                                          <w:divBdr>
                                                                                            <w:top w:val="none" w:sz="0" w:space="0" w:color="auto"/>
                                                                                            <w:left w:val="none" w:sz="0" w:space="0" w:color="auto"/>
                                                                                            <w:bottom w:val="none" w:sz="0" w:space="0" w:color="auto"/>
                                                                                            <w:right w:val="none" w:sz="0" w:space="0" w:color="auto"/>
                                                                                          </w:divBdr>
                                                                                          <w:divsChild>
                                                                                            <w:div w:id="312099725">
                                                                                              <w:marLeft w:val="0"/>
                                                                                              <w:marRight w:val="0"/>
                                                                                              <w:marTop w:val="0"/>
                                                                                              <w:marBottom w:val="0"/>
                                                                                              <w:divBdr>
                                                                                                <w:top w:val="none" w:sz="0" w:space="0" w:color="auto"/>
                                                                                                <w:left w:val="none" w:sz="0" w:space="0" w:color="auto"/>
                                                                                                <w:bottom w:val="none" w:sz="0" w:space="0" w:color="auto"/>
                                                                                                <w:right w:val="none" w:sz="0" w:space="0" w:color="auto"/>
                                                                                              </w:divBdr>
                                                                                              <w:divsChild>
                                                                                                <w:div w:id="1301423771">
                                                                                                  <w:marLeft w:val="0"/>
                                                                                                  <w:marRight w:val="0"/>
                                                                                                  <w:marTop w:val="0"/>
                                                                                                  <w:marBottom w:val="0"/>
                                                                                                  <w:divBdr>
                                                                                                    <w:top w:val="none" w:sz="0" w:space="0" w:color="auto"/>
                                                                                                    <w:left w:val="single" w:sz="12" w:space="8" w:color="auto"/>
                                                                                                    <w:bottom w:val="none" w:sz="0" w:space="0" w:color="auto"/>
                                                                                                    <w:right w:val="none" w:sz="0" w:space="0" w:color="auto"/>
                                                                                                  </w:divBdr>
                                                                                                  <w:divsChild>
                                                                                                    <w:div w:id="950863601">
                                                                                                      <w:marLeft w:val="0"/>
                                                                                                      <w:marRight w:val="0"/>
                                                                                                      <w:marTop w:val="0"/>
                                                                                                      <w:marBottom w:val="0"/>
                                                                                                      <w:divBdr>
                                                                                                        <w:top w:val="none" w:sz="0" w:space="0" w:color="auto"/>
                                                                                                        <w:left w:val="none" w:sz="0" w:space="0" w:color="auto"/>
                                                                                                        <w:bottom w:val="none" w:sz="0" w:space="0" w:color="auto"/>
                                                                                                        <w:right w:val="none" w:sz="0" w:space="0" w:color="auto"/>
                                                                                                      </w:divBdr>
                                                                                                      <w:divsChild>
                                                                                                        <w:div w:id="248857843">
                                                                                                          <w:marLeft w:val="0"/>
                                                                                                          <w:marRight w:val="0"/>
                                                                                                          <w:marTop w:val="0"/>
                                                                                                          <w:marBottom w:val="0"/>
                                                                                                          <w:divBdr>
                                                                                                            <w:top w:val="none" w:sz="0" w:space="0" w:color="auto"/>
                                                                                                            <w:left w:val="none" w:sz="0" w:space="0" w:color="auto"/>
                                                                                                            <w:bottom w:val="none" w:sz="0" w:space="0" w:color="auto"/>
                                                                                                            <w:right w:val="none" w:sz="0" w:space="0" w:color="auto"/>
                                                                                                          </w:divBdr>
                                                                                                          <w:divsChild>
                                                                                                            <w:div w:id="357126303">
                                                                                                              <w:marLeft w:val="0"/>
                                                                                                              <w:marRight w:val="0"/>
                                                                                                              <w:marTop w:val="0"/>
                                                                                                              <w:marBottom w:val="0"/>
                                                                                                              <w:divBdr>
                                                                                                                <w:top w:val="none" w:sz="0" w:space="0" w:color="auto"/>
                                                                                                                <w:left w:val="none" w:sz="0" w:space="0" w:color="auto"/>
                                                                                                                <w:bottom w:val="none" w:sz="0" w:space="0" w:color="auto"/>
                                                                                                                <w:right w:val="none" w:sz="0" w:space="0" w:color="auto"/>
                                                                                                              </w:divBdr>
                                                                                                              <w:divsChild>
                                                                                                                <w:div w:id="503974987">
                                                                                                                  <w:marLeft w:val="0"/>
                                                                                                                  <w:marRight w:val="0"/>
                                                                                                                  <w:marTop w:val="0"/>
                                                                                                                  <w:marBottom w:val="0"/>
                                                                                                                  <w:divBdr>
                                                                                                                    <w:top w:val="none" w:sz="0" w:space="0" w:color="auto"/>
                                                                                                                    <w:left w:val="none" w:sz="0" w:space="0" w:color="auto"/>
                                                                                                                    <w:bottom w:val="none" w:sz="0" w:space="0" w:color="auto"/>
                                                                                                                    <w:right w:val="none" w:sz="0" w:space="0" w:color="auto"/>
                                                                                                                  </w:divBdr>
                                                                                                                  <w:divsChild>
                                                                                                                    <w:div w:id="436601266">
                                                                                                                      <w:marLeft w:val="0"/>
                                                                                                                      <w:marRight w:val="0"/>
                                                                                                                      <w:marTop w:val="0"/>
                                                                                                                      <w:marBottom w:val="0"/>
                                                                                                                      <w:divBdr>
                                                                                                                        <w:top w:val="none" w:sz="0" w:space="0" w:color="auto"/>
                                                                                                                        <w:left w:val="none" w:sz="0" w:space="0" w:color="auto"/>
                                                                                                                        <w:bottom w:val="none" w:sz="0" w:space="0" w:color="auto"/>
                                                                                                                        <w:right w:val="none" w:sz="0" w:space="0" w:color="auto"/>
                                                                                                                      </w:divBdr>
                                                                                                                      <w:divsChild>
                                                                                                                        <w:div w:id="1098257550">
                                                                                                                          <w:marLeft w:val="0"/>
                                                                                                                          <w:marRight w:val="0"/>
                                                                                                                          <w:marTop w:val="0"/>
                                                                                                                          <w:marBottom w:val="0"/>
                                                                                                                          <w:divBdr>
                                                                                                                            <w:top w:val="none" w:sz="0" w:space="0" w:color="auto"/>
                                                                                                                            <w:left w:val="none" w:sz="0" w:space="0" w:color="auto"/>
                                                                                                                            <w:bottom w:val="none" w:sz="0" w:space="0" w:color="auto"/>
                                                                                                                            <w:right w:val="none" w:sz="0" w:space="0" w:color="auto"/>
                                                                                                                          </w:divBdr>
                                                                                                                          <w:divsChild>
                                                                                                                            <w:div w:id="26882646">
                                                                                                                              <w:marLeft w:val="0"/>
                                                                                                                              <w:marRight w:val="0"/>
                                                                                                                              <w:marTop w:val="0"/>
                                                                                                                              <w:marBottom w:val="0"/>
                                                                                                                              <w:divBdr>
                                                                                                                                <w:top w:val="none" w:sz="0" w:space="0" w:color="auto"/>
                                                                                                                                <w:left w:val="none" w:sz="0" w:space="0" w:color="auto"/>
                                                                                                                                <w:bottom w:val="none" w:sz="0" w:space="0" w:color="auto"/>
                                                                                                                                <w:right w:val="none" w:sz="0" w:space="0" w:color="auto"/>
                                                                                                                              </w:divBdr>
                                                                                                                            </w:div>
                                                                                                                            <w:div w:id="66079307">
                                                                                                                              <w:marLeft w:val="0"/>
                                                                                                                              <w:marRight w:val="0"/>
                                                                                                                              <w:marTop w:val="0"/>
                                                                                                                              <w:marBottom w:val="0"/>
                                                                                                                              <w:divBdr>
                                                                                                                                <w:top w:val="none" w:sz="0" w:space="0" w:color="auto"/>
                                                                                                                                <w:left w:val="none" w:sz="0" w:space="0" w:color="auto"/>
                                                                                                                                <w:bottom w:val="none" w:sz="0" w:space="0" w:color="auto"/>
                                                                                                                                <w:right w:val="none" w:sz="0" w:space="0" w:color="auto"/>
                                                                                                                              </w:divBdr>
                                                                                                                            </w:div>
                                                                                                                            <w:div w:id="221329240">
                                                                                                                              <w:marLeft w:val="0"/>
                                                                                                                              <w:marRight w:val="0"/>
                                                                                                                              <w:marTop w:val="0"/>
                                                                                                                              <w:marBottom w:val="0"/>
                                                                                                                              <w:divBdr>
                                                                                                                                <w:top w:val="none" w:sz="0" w:space="0" w:color="auto"/>
                                                                                                                                <w:left w:val="none" w:sz="0" w:space="0" w:color="auto"/>
                                                                                                                                <w:bottom w:val="none" w:sz="0" w:space="0" w:color="auto"/>
                                                                                                                                <w:right w:val="none" w:sz="0" w:space="0" w:color="auto"/>
                                                                                                                              </w:divBdr>
                                                                                                                            </w:div>
                                                                                                                            <w:div w:id="296644073">
                                                                                                                              <w:marLeft w:val="0"/>
                                                                                                                              <w:marRight w:val="0"/>
                                                                                                                              <w:marTop w:val="0"/>
                                                                                                                              <w:marBottom w:val="0"/>
                                                                                                                              <w:divBdr>
                                                                                                                                <w:top w:val="none" w:sz="0" w:space="0" w:color="auto"/>
                                                                                                                                <w:left w:val="none" w:sz="0" w:space="0" w:color="auto"/>
                                                                                                                                <w:bottom w:val="none" w:sz="0" w:space="0" w:color="auto"/>
                                                                                                                                <w:right w:val="none" w:sz="0" w:space="0" w:color="auto"/>
                                                                                                                              </w:divBdr>
                                                                                                                            </w:div>
                                                                                                                            <w:div w:id="369845833">
                                                                                                                              <w:marLeft w:val="0"/>
                                                                                                                              <w:marRight w:val="0"/>
                                                                                                                              <w:marTop w:val="0"/>
                                                                                                                              <w:marBottom w:val="0"/>
                                                                                                                              <w:divBdr>
                                                                                                                                <w:top w:val="none" w:sz="0" w:space="0" w:color="auto"/>
                                                                                                                                <w:left w:val="none" w:sz="0" w:space="0" w:color="auto"/>
                                                                                                                                <w:bottom w:val="none" w:sz="0" w:space="0" w:color="auto"/>
                                                                                                                                <w:right w:val="none" w:sz="0" w:space="0" w:color="auto"/>
                                                                                                                              </w:divBdr>
                                                                                                                            </w:div>
                                                                                                                            <w:div w:id="418673203">
                                                                                                                              <w:marLeft w:val="0"/>
                                                                                                                              <w:marRight w:val="0"/>
                                                                                                                              <w:marTop w:val="0"/>
                                                                                                                              <w:marBottom w:val="0"/>
                                                                                                                              <w:divBdr>
                                                                                                                                <w:top w:val="none" w:sz="0" w:space="0" w:color="auto"/>
                                                                                                                                <w:left w:val="none" w:sz="0" w:space="0" w:color="auto"/>
                                                                                                                                <w:bottom w:val="none" w:sz="0" w:space="0" w:color="auto"/>
                                                                                                                                <w:right w:val="none" w:sz="0" w:space="0" w:color="auto"/>
                                                                                                                              </w:divBdr>
                                                                                                                            </w:div>
                                                                                                                            <w:div w:id="432938437">
                                                                                                                              <w:marLeft w:val="0"/>
                                                                                                                              <w:marRight w:val="0"/>
                                                                                                                              <w:marTop w:val="0"/>
                                                                                                                              <w:marBottom w:val="0"/>
                                                                                                                              <w:divBdr>
                                                                                                                                <w:top w:val="none" w:sz="0" w:space="0" w:color="auto"/>
                                                                                                                                <w:left w:val="none" w:sz="0" w:space="0" w:color="auto"/>
                                                                                                                                <w:bottom w:val="none" w:sz="0" w:space="0" w:color="auto"/>
                                                                                                                                <w:right w:val="none" w:sz="0" w:space="0" w:color="auto"/>
                                                                                                                              </w:divBdr>
                                                                                                                            </w:div>
                                                                                                                            <w:div w:id="536358058">
                                                                                                                              <w:marLeft w:val="0"/>
                                                                                                                              <w:marRight w:val="0"/>
                                                                                                                              <w:marTop w:val="0"/>
                                                                                                                              <w:marBottom w:val="0"/>
                                                                                                                              <w:divBdr>
                                                                                                                                <w:top w:val="none" w:sz="0" w:space="0" w:color="auto"/>
                                                                                                                                <w:left w:val="none" w:sz="0" w:space="0" w:color="auto"/>
                                                                                                                                <w:bottom w:val="none" w:sz="0" w:space="0" w:color="auto"/>
                                                                                                                                <w:right w:val="none" w:sz="0" w:space="0" w:color="auto"/>
                                                                                                                              </w:divBdr>
                                                                                                                            </w:div>
                                                                                                                            <w:div w:id="679619711">
                                                                                                                              <w:marLeft w:val="0"/>
                                                                                                                              <w:marRight w:val="0"/>
                                                                                                                              <w:marTop w:val="0"/>
                                                                                                                              <w:marBottom w:val="0"/>
                                                                                                                              <w:divBdr>
                                                                                                                                <w:top w:val="none" w:sz="0" w:space="0" w:color="auto"/>
                                                                                                                                <w:left w:val="none" w:sz="0" w:space="0" w:color="auto"/>
                                                                                                                                <w:bottom w:val="none" w:sz="0" w:space="0" w:color="auto"/>
                                                                                                                                <w:right w:val="none" w:sz="0" w:space="0" w:color="auto"/>
                                                                                                                              </w:divBdr>
                                                                                                                            </w:div>
                                                                                                                            <w:div w:id="731462120">
                                                                                                                              <w:marLeft w:val="0"/>
                                                                                                                              <w:marRight w:val="0"/>
                                                                                                                              <w:marTop w:val="0"/>
                                                                                                                              <w:marBottom w:val="0"/>
                                                                                                                              <w:divBdr>
                                                                                                                                <w:top w:val="none" w:sz="0" w:space="0" w:color="auto"/>
                                                                                                                                <w:left w:val="none" w:sz="0" w:space="0" w:color="auto"/>
                                                                                                                                <w:bottom w:val="none" w:sz="0" w:space="0" w:color="auto"/>
                                                                                                                                <w:right w:val="none" w:sz="0" w:space="0" w:color="auto"/>
                                                                                                                              </w:divBdr>
                                                                                                                            </w:div>
                                                                                                                            <w:div w:id="819804712">
                                                                                                                              <w:marLeft w:val="0"/>
                                                                                                                              <w:marRight w:val="0"/>
                                                                                                                              <w:marTop w:val="0"/>
                                                                                                                              <w:marBottom w:val="0"/>
                                                                                                                              <w:divBdr>
                                                                                                                                <w:top w:val="none" w:sz="0" w:space="0" w:color="auto"/>
                                                                                                                                <w:left w:val="none" w:sz="0" w:space="0" w:color="auto"/>
                                                                                                                                <w:bottom w:val="none" w:sz="0" w:space="0" w:color="auto"/>
                                                                                                                                <w:right w:val="none" w:sz="0" w:space="0" w:color="auto"/>
                                                                                                                              </w:divBdr>
                                                                                                                            </w:div>
                                                                                                                            <w:div w:id="917059767">
                                                                                                                              <w:marLeft w:val="0"/>
                                                                                                                              <w:marRight w:val="0"/>
                                                                                                                              <w:marTop w:val="0"/>
                                                                                                                              <w:marBottom w:val="0"/>
                                                                                                                              <w:divBdr>
                                                                                                                                <w:top w:val="none" w:sz="0" w:space="0" w:color="auto"/>
                                                                                                                                <w:left w:val="none" w:sz="0" w:space="0" w:color="auto"/>
                                                                                                                                <w:bottom w:val="none" w:sz="0" w:space="0" w:color="auto"/>
                                                                                                                                <w:right w:val="none" w:sz="0" w:space="0" w:color="auto"/>
                                                                                                                              </w:divBdr>
                                                                                                                            </w:div>
                                                                                                                            <w:div w:id="985163455">
                                                                                                                              <w:marLeft w:val="0"/>
                                                                                                                              <w:marRight w:val="0"/>
                                                                                                                              <w:marTop w:val="0"/>
                                                                                                                              <w:marBottom w:val="0"/>
                                                                                                                              <w:divBdr>
                                                                                                                                <w:top w:val="none" w:sz="0" w:space="0" w:color="auto"/>
                                                                                                                                <w:left w:val="none" w:sz="0" w:space="0" w:color="auto"/>
                                                                                                                                <w:bottom w:val="none" w:sz="0" w:space="0" w:color="auto"/>
                                                                                                                                <w:right w:val="none" w:sz="0" w:space="0" w:color="auto"/>
                                                                                                                              </w:divBdr>
                                                                                                                            </w:div>
                                                                                                                            <w:div w:id="1352874752">
                                                                                                                              <w:marLeft w:val="0"/>
                                                                                                                              <w:marRight w:val="0"/>
                                                                                                                              <w:marTop w:val="0"/>
                                                                                                                              <w:marBottom w:val="0"/>
                                                                                                                              <w:divBdr>
                                                                                                                                <w:top w:val="none" w:sz="0" w:space="0" w:color="auto"/>
                                                                                                                                <w:left w:val="none" w:sz="0" w:space="0" w:color="auto"/>
                                                                                                                                <w:bottom w:val="none" w:sz="0" w:space="0" w:color="auto"/>
                                                                                                                                <w:right w:val="none" w:sz="0" w:space="0" w:color="auto"/>
                                                                                                                              </w:divBdr>
                                                                                                                            </w:div>
                                                                                                                            <w:div w:id="1536893220">
                                                                                                                              <w:marLeft w:val="0"/>
                                                                                                                              <w:marRight w:val="0"/>
                                                                                                                              <w:marTop w:val="0"/>
                                                                                                                              <w:marBottom w:val="0"/>
                                                                                                                              <w:divBdr>
                                                                                                                                <w:top w:val="none" w:sz="0" w:space="0" w:color="auto"/>
                                                                                                                                <w:left w:val="none" w:sz="0" w:space="0" w:color="auto"/>
                                                                                                                                <w:bottom w:val="none" w:sz="0" w:space="0" w:color="auto"/>
                                                                                                                                <w:right w:val="none" w:sz="0" w:space="0" w:color="auto"/>
                                                                                                                              </w:divBdr>
                                                                                                                            </w:div>
                                                                                                                            <w:div w:id="1544828285">
                                                                                                                              <w:marLeft w:val="0"/>
                                                                                                                              <w:marRight w:val="0"/>
                                                                                                                              <w:marTop w:val="0"/>
                                                                                                                              <w:marBottom w:val="0"/>
                                                                                                                              <w:divBdr>
                                                                                                                                <w:top w:val="none" w:sz="0" w:space="0" w:color="auto"/>
                                                                                                                                <w:left w:val="none" w:sz="0" w:space="0" w:color="auto"/>
                                                                                                                                <w:bottom w:val="none" w:sz="0" w:space="0" w:color="auto"/>
                                                                                                                                <w:right w:val="none" w:sz="0" w:space="0" w:color="auto"/>
                                                                                                                              </w:divBdr>
                                                                                                                            </w:div>
                                                                                                                            <w:div w:id="1612009801">
                                                                                                                              <w:marLeft w:val="0"/>
                                                                                                                              <w:marRight w:val="0"/>
                                                                                                                              <w:marTop w:val="0"/>
                                                                                                                              <w:marBottom w:val="0"/>
                                                                                                                              <w:divBdr>
                                                                                                                                <w:top w:val="none" w:sz="0" w:space="0" w:color="auto"/>
                                                                                                                                <w:left w:val="none" w:sz="0" w:space="0" w:color="auto"/>
                                                                                                                                <w:bottom w:val="none" w:sz="0" w:space="0" w:color="auto"/>
                                                                                                                                <w:right w:val="none" w:sz="0" w:space="0" w:color="auto"/>
                                                                                                                              </w:divBdr>
                                                                                                                            </w:div>
                                                                                                                            <w:div w:id="1685666235">
                                                                                                                              <w:marLeft w:val="0"/>
                                                                                                                              <w:marRight w:val="0"/>
                                                                                                                              <w:marTop w:val="0"/>
                                                                                                                              <w:marBottom w:val="0"/>
                                                                                                                              <w:divBdr>
                                                                                                                                <w:top w:val="none" w:sz="0" w:space="0" w:color="auto"/>
                                                                                                                                <w:left w:val="none" w:sz="0" w:space="0" w:color="auto"/>
                                                                                                                                <w:bottom w:val="none" w:sz="0" w:space="0" w:color="auto"/>
                                                                                                                                <w:right w:val="none" w:sz="0" w:space="0" w:color="auto"/>
                                                                                                                              </w:divBdr>
                                                                                                                            </w:div>
                                                                                                                            <w:div w:id="1860267979">
                                                                                                                              <w:marLeft w:val="0"/>
                                                                                                                              <w:marRight w:val="0"/>
                                                                                                                              <w:marTop w:val="0"/>
                                                                                                                              <w:marBottom w:val="0"/>
                                                                                                                              <w:divBdr>
                                                                                                                                <w:top w:val="none" w:sz="0" w:space="0" w:color="auto"/>
                                                                                                                                <w:left w:val="none" w:sz="0" w:space="0" w:color="auto"/>
                                                                                                                                <w:bottom w:val="none" w:sz="0" w:space="0" w:color="auto"/>
                                                                                                                                <w:right w:val="none" w:sz="0" w:space="0" w:color="auto"/>
                                                                                                                              </w:divBdr>
                                                                                                                            </w:div>
                                                                                                                            <w:div w:id="1894001543">
                                                                                                                              <w:marLeft w:val="0"/>
                                                                                                                              <w:marRight w:val="0"/>
                                                                                                                              <w:marTop w:val="0"/>
                                                                                                                              <w:marBottom w:val="0"/>
                                                                                                                              <w:divBdr>
                                                                                                                                <w:top w:val="none" w:sz="0" w:space="0" w:color="auto"/>
                                                                                                                                <w:left w:val="none" w:sz="0" w:space="0" w:color="auto"/>
                                                                                                                                <w:bottom w:val="none" w:sz="0" w:space="0" w:color="auto"/>
                                                                                                                                <w:right w:val="none" w:sz="0" w:space="0" w:color="auto"/>
                                                                                                                              </w:divBdr>
                                                                                                                            </w:div>
                                                                                                                            <w:div w:id="20487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838214">
      <w:bodyDiv w:val="1"/>
      <w:marLeft w:val="0"/>
      <w:marRight w:val="0"/>
      <w:marTop w:val="0"/>
      <w:marBottom w:val="0"/>
      <w:divBdr>
        <w:top w:val="none" w:sz="0" w:space="0" w:color="auto"/>
        <w:left w:val="none" w:sz="0" w:space="0" w:color="auto"/>
        <w:bottom w:val="none" w:sz="0" w:space="0" w:color="auto"/>
        <w:right w:val="none" w:sz="0" w:space="0" w:color="auto"/>
      </w:divBdr>
    </w:div>
    <w:div w:id="1049232181">
      <w:bodyDiv w:val="1"/>
      <w:marLeft w:val="0"/>
      <w:marRight w:val="0"/>
      <w:marTop w:val="0"/>
      <w:marBottom w:val="0"/>
      <w:divBdr>
        <w:top w:val="none" w:sz="0" w:space="0" w:color="auto"/>
        <w:left w:val="none" w:sz="0" w:space="0" w:color="auto"/>
        <w:bottom w:val="none" w:sz="0" w:space="0" w:color="auto"/>
        <w:right w:val="none" w:sz="0" w:space="0" w:color="auto"/>
      </w:divBdr>
    </w:div>
    <w:div w:id="1051223792">
      <w:bodyDiv w:val="1"/>
      <w:marLeft w:val="0"/>
      <w:marRight w:val="0"/>
      <w:marTop w:val="0"/>
      <w:marBottom w:val="0"/>
      <w:divBdr>
        <w:top w:val="none" w:sz="0" w:space="0" w:color="auto"/>
        <w:left w:val="none" w:sz="0" w:space="0" w:color="auto"/>
        <w:bottom w:val="none" w:sz="0" w:space="0" w:color="auto"/>
        <w:right w:val="none" w:sz="0" w:space="0" w:color="auto"/>
      </w:divBdr>
    </w:div>
    <w:div w:id="1051687706">
      <w:bodyDiv w:val="1"/>
      <w:marLeft w:val="0"/>
      <w:marRight w:val="0"/>
      <w:marTop w:val="0"/>
      <w:marBottom w:val="0"/>
      <w:divBdr>
        <w:top w:val="none" w:sz="0" w:space="0" w:color="auto"/>
        <w:left w:val="none" w:sz="0" w:space="0" w:color="auto"/>
        <w:bottom w:val="none" w:sz="0" w:space="0" w:color="auto"/>
        <w:right w:val="none" w:sz="0" w:space="0" w:color="auto"/>
      </w:divBdr>
    </w:div>
    <w:div w:id="1056315201">
      <w:bodyDiv w:val="1"/>
      <w:marLeft w:val="0"/>
      <w:marRight w:val="0"/>
      <w:marTop w:val="0"/>
      <w:marBottom w:val="0"/>
      <w:divBdr>
        <w:top w:val="none" w:sz="0" w:space="0" w:color="auto"/>
        <w:left w:val="none" w:sz="0" w:space="0" w:color="auto"/>
        <w:bottom w:val="none" w:sz="0" w:space="0" w:color="auto"/>
        <w:right w:val="none" w:sz="0" w:space="0" w:color="auto"/>
      </w:divBdr>
    </w:div>
    <w:div w:id="1059018334">
      <w:bodyDiv w:val="1"/>
      <w:marLeft w:val="0"/>
      <w:marRight w:val="0"/>
      <w:marTop w:val="0"/>
      <w:marBottom w:val="0"/>
      <w:divBdr>
        <w:top w:val="none" w:sz="0" w:space="0" w:color="auto"/>
        <w:left w:val="none" w:sz="0" w:space="0" w:color="auto"/>
        <w:bottom w:val="none" w:sz="0" w:space="0" w:color="auto"/>
        <w:right w:val="none" w:sz="0" w:space="0" w:color="auto"/>
      </w:divBdr>
    </w:div>
    <w:div w:id="1067416327">
      <w:bodyDiv w:val="1"/>
      <w:marLeft w:val="0"/>
      <w:marRight w:val="0"/>
      <w:marTop w:val="0"/>
      <w:marBottom w:val="0"/>
      <w:divBdr>
        <w:top w:val="none" w:sz="0" w:space="0" w:color="auto"/>
        <w:left w:val="none" w:sz="0" w:space="0" w:color="auto"/>
        <w:bottom w:val="none" w:sz="0" w:space="0" w:color="auto"/>
        <w:right w:val="none" w:sz="0" w:space="0" w:color="auto"/>
      </w:divBdr>
    </w:div>
    <w:div w:id="1075009740">
      <w:bodyDiv w:val="1"/>
      <w:marLeft w:val="0"/>
      <w:marRight w:val="0"/>
      <w:marTop w:val="0"/>
      <w:marBottom w:val="0"/>
      <w:divBdr>
        <w:top w:val="none" w:sz="0" w:space="0" w:color="auto"/>
        <w:left w:val="none" w:sz="0" w:space="0" w:color="auto"/>
        <w:bottom w:val="none" w:sz="0" w:space="0" w:color="auto"/>
        <w:right w:val="none" w:sz="0" w:space="0" w:color="auto"/>
      </w:divBdr>
    </w:div>
    <w:div w:id="1075860745">
      <w:bodyDiv w:val="1"/>
      <w:marLeft w:val="0"/>
      <w:marRight w:val="0"/>
      <w:marTop w:val="0"/>
      <w:marBottom w:val="0"/>
      <w:divBdr>
        <w:top w:val="none" w:sz="0" w:space="0" w:color="auto"/>
        <w:left w:val="none" w:sz="0" w:space="0" w:color="auto"/>
        <w:bottom w:val="none" w:sz="0" w:space="0" w:color="auto"/>
        <w:right w:val="none" w:sz="0" w:space="0" w:color="auto"/>
      </w:divBdr>
    </w:div>
    <w:div w:id="1085690626">
      <w:bodyDiv w:val="1"/>
      <w:marLeft w:val="0"/>
      <w:marRight w:val="0"/>
      <w:marTop w:val="0"/>
      <w:marBottom w:val="0"/>
      <w:divBdr>
        <w:top w:val="none" w:sz="0" w:space="0" w:color="auto"/>
        <w:left w:val="none" w:sz="0" w:space="0" w:color="auto"/>
        <w:bottom w:val="none" w:sz="0" w:space="0" w:color="auto"/>
        <w:right w:val="none" w:sz="0" w:space="0" w:color="auto"/>
      </w:divBdr>
    </w:div>
    <w:div w:id="1089542559">
      <w:bodyDiv w:val="1"/>
      <w:marLeft w:val="0"/>
      <w:marRight w:val="0"/>
      <w:marTop w:val="0"/>
      <w:marBottom w:val="0"/>
      <w:divBdr>
        <w:top w:val="none" w:sz="0" w:space="0" w:color="auto"/>
        <w:left w:val="none" w:sz="0" w:space="0" w:color="auto"/>
        <w:bottom w:val="none" w:sz="0" w:space="0" w:color="auto"/>
        <w:right w:val="none" w:sz="0" w:space="0" w:color="auto"/>
      </w:divBdr>
    </w:div>
    <w:div w:id="1089620804">
      <w:bodyDiv w:val="1"/>
      <w:marLeft w:val="0"/>
      <w:marRight w:val="0"/>
      <w:marTop w:val="0"/>
      <w:marBottom w:val="0"/>
      <w:divBdr>
        <w:top w:val="none" w:sz="0" w:space="0" w:color="auto"/>
        <w:left w:val="none" w:sz="0" w:space="0" w:color="auto"/>
        <w:bottom w:val="none" w:sz="0" w:space="0" w:color="auto"/>
        <w:right w:val="none" w:sz="0" w:space="0" w:color="auto"/>
      </w:divBdr>
    </w:div>
    <w:div w:id="1089885705">
      <w:bodyDiv w:val="1"/>
      <w:marLeft w:val="0"/>
      <w:marRight w:val="0"/>
      <w:marTop w:val="0"/>
      <w:marBottom w:val="0"/>
      <w:divBdr>
        <w:top w:val="none" w:sz="0" w:space="0" w:color="auto"/>
        <w:left w:val="none" w:sz="0" w:space="0" w:color="auto"/>
        <w:bottom w:val="none" w:sz="0" w:space="0" w:color="auto"/>
        <w:right w:val="none" w:sz="0" w:space="0" w:color="auto"/>
      </w:divBdr>
    </w:div>
    <w:div w:id="1097866996">
      <w:bodyDiv w:val="1"/>
      <w:marLeft w:val="0"/>
      <w:marRight w:val="0"/>
      <w:marTop w:val="0"/>
      <w:marBottom w:val="0"/>
      <w:divBdr>
        <w:top w:val="none" w:sz="0" w:space="0" w:color="auto"/>
        <w:left w:val="none" w:sz="0" w:space="0" w:color="auto"/>
        <w:bottom w:val="none" w:sz="0" w:space="0" w:color="auto"/>
        <w:right w:val="none" w:sz="0" w:space="0" w:color="auto"/>
      </w:divBdr>
    </w:div>
    <w:div w:id="1098866295">
      <w:bodyDiv w:val="1"/>
      <w:marLeft w:val="0"/>
      <w:marRight w:val="0"/>
      <w:marTop w:val="0"/>
      <w:marBottom w:val="0"/>
      <w:divBdr>
        <w:top w:val="none" w:sz="0" w:space="0" w:color="auto"/>
        <w:left w:val="none" w:sz="0" w:space="0" w:color="auto"/>
        <w:bottom w:val="none" w:sz="0" w:space="0" w:color="auto"/>
        <w:right w:val="none" w:sz="0" w:space="0" w:color="auto"/>
      </w:divBdr>
    </w:div>
    <w:div w:id="1109621106">
      <w:bodyDiv w:val="1"/>
      <w:marLeft w:val="0"/>
      <w:marRight w:val="0"/>
      <w:marTop w:val="0"/>
      <w:marBottom w:val="0"/>
      <w:divBdr>
        <w:top w:val="none" w:sz="0" w:space="0" w:color="auto"/>
        <w:left w:val="none" w:sz="0" w:space="0" w:color="auto"/>
        <w:bottom w:val="none" w:sz="0" w:space="0" w:color="auto"/>
        <w:right w:val="none" w:sz="0" w:space="0" w:color="auto"/>
      </w:divBdr>
      <w:divsChild>
        <w:div w:id="1235582958">
          <w:marLeft w:val="0"/>
          <w:marRight w:val="0"/>
          <w:marTop w:val="0"/>
          <w:marBottom w:val="0"/>
          <w:divBdr>
            <w:top w:val="none" w:sz="0" w:space="0" w:color="auto"/>
            <w:left w:val="none" w:sz="0" w:space="0" w:color="auto"/>
            <w:bottom w:val="none" w:sz="0" w:space="0" w:color="auto"/>
            <w:right w:val="none" w:sz="0" w:space="0" w:color="auto"/>
          </w:divBdr>
        </w:div>
        <w:div w:id="96485972">
          <w:marLeft w:val="0"/>
          <w:marRight w:val="0"/>
          <w:marTop w:val="0"/>
          <w:marBottom w:val="0"/>
          <w:divBdr>
            <w:top w:val="none" w:sz="0" w:space="0" w:color="auto"/>
            <w:left w:val="none" w:sz="0" w:space="0" w:color="auto"/>
            <w:bottom w:val="none" w:sz="0" w:space="0" w:color="auto"/>
            <w:right w:val="none" w:sz="0" w:space="0" w:color="auto"/>
          </w:divBdr>
        </w:div>
        <w:div w:id="1001155447">
          <w:marLeft w:val="0"/>
          <w:marRight w:val="0"/>
          <w:marTop w:val="0"/>
          <w:marBottom w:val="0"/>
          <w:divBdr>
            <w:top w:val="none" w:sz="0" w:space="0" w:color="auto"/>
            <w:left w:val="none" w:sz="0" w:space="0" w:color="auto"/>
            <w:bottom w:val="none" w:sz="0" w:space="0" w:color="auto"/>
            <w:right w:val="none" w:sz="0" w:space="0" w:color="auto"/>
          </w:divBdr>
        </w:div>
        <w:div w:id="1489401242">
          <w:marLeft w:val="0"/>
          <w:marRight w:val="0"/>
          <w:marTop w:val="0"/>
          <w:marBottom w:val="0"/>
          <w:divBdr>
            <w:top w:val="none" w:sz="0" w:space="0" w:color="auto"/>
            <w:left w:val="none" w:sz="0" w:space="0" w:color="auto"/>
            <w:bottom w:val="none" w:sz="0" w:space="0" w:color="auto"/>
            <w:right w:val="none" w:sz="0" w:space="0" w:color="auto"/>
          </w:divBdr>
        </w:div>
        <w:div w:id="1359744826">
          <w:marLeft w:val="0"/>
          <w:marRight w:val="0"/>
          <w:marTop w:val="0"/>
          <w:marBottom w:val="0"/>
          <w:divBdr>
            <w:top w:val="none" w:sz="0" w:space="0" w:color="auto"/>
            <w:left w:val="none" w:sz="0" w:space="0" w:color="auto"/>
            <w:bottom w:val="none" w:sz="0" w:space="0" w:color="auto"/>
            <w:right w:val="none" w:sz="0" w:space="0" w:color="auto"/>
          </w:divBdr>
        </w:div>
        <w:div w:id="1024134240">
          <w:marLeft w:val="0"/>
          <w:marRight w:val="0"/>
          <w:marTop w:val="0"/>
          <w:marBottom w:val="0"/>
          <w:divBdr>
            <w:top w:val="none" w:sz="0" w:space="0" w:color="auto"/>
            <w:left w:val="none" w:sz="0" w:space="0" w:color="auto"/>
            <w:bottom w:val="none" w:sz="0" w:space="0" w:color="auto"/>
            <w:right w:val="none" w:sz="0" w:space="0" w:color="auto"/>
          </w:divBdr>
        </w:div>
        <w:div w:id="1137333908">
          <w:marLeft w:val="0"/>
          <w:marRight w:val="0"/>
          <w:marTop w:val="0"/>
          <w:marBottom w:val="0"/>
          <w:divBdr>
            <w:top w:val="none" w:sz="0" w:space="0" w:color="auto"/>
            <w:left w:val="none" w:sz="0" w:space="0" w:color="auto"/>
            <w:bottom w:val="none" w:sz="0" w:space="0" w:color="auto"/>
            <w:right w:val="none" w:sz="0" w:space="0" w:color="auto"/>
          </w:divBdr>
        </w:div>
        <w:div w:id="308752514">
          <w:marLeft w:val="0"/>
          <w:marRight w:val="0"/>
          <w:marTop w:val="0"/>
          <w:marBottom w:val="0"/>
          <w:divBdr>
            <w:top w:val="none" w:sz="0" w:space="0" w:color="auto"/>
            <w:left w:val="none" w:sz="0" w:space="0" w:color="auto"/>
            <w:bottom w:val="none" w:sz="0" w:space="0" w:color="auto"/>
            <w:right w:val="none" w:sz="0" w:space="0" w:color="auto"/>
          </w:divBdr>
        </w:div>
        <w:div w:id="2043094204">
          <w:marLeft w:val="0"/>
          <w:marRight w:val="0"/>
          <w:marTop w:val="0"/>
          <w:marBottom w:val="0"/>
          <w:divBdr>
            <w:top w:val="none" w:sz="0" w:space="0" w:color="auto"/>
            <w:left w:val="none" w:sz="0" w:space="0" w:color="auto"/>
            <w:bottom w:val="none" w:sz="0" w:space="0" w:color="auto"/>
            <w:right w:val="none" w:sz="0" w:space="0" w:color="auto"/>
          </w:divBdr>
        </w:div>
        <w:div w:id="1652169508">
          <w:marLeft w:val="0"/>
          <w:marRight w:val="0"/>
          <w:marTop w:val="0"/>
          <w:marBottom w:val="0"/>
          <w:divBdr>
            <w:top w:val="none" w:sz="0" w:space="0" w:color="auto"/>
            <w:left w:val="none" w:sz="0" w:space="0" w:color="auto"/>
            <w:bottom w:val="none" w:sz="0" w:space="0" w:color="auto"/>
            <w:right w:val="none" w:sz="0" w:space="0" w:color="auto"/>
          </w:divBdr>
        </w:div>
        <w:div w:id="897740169">
          <w:marLeft w:val="0"/>
          <w:marRight w:val="0"/>
          <w:marTop w:val="0"/>
          <w:marBottom w:val="0"/>
          <w:divBdr>
            <w:top w:val="none" w:sz="0" w:space="0" w:color="auto"/>
            <w:left w:val="none" w:sz="0" w:space="0" w:color="auto"/>
            <w:bottom w:val="none" w:sz="0" w:space="0" w:color="auto"/>
            <w:right w:val="none" w:sz="0" w:space="0" w:color="auto"/>
          </w:divBdr>
        </w:div>
      </w:divsChild>
    </w:div>
    <w:div w:id="1112625521">
      <w:bodyDiv w:val="1"/>
      <w:marLeft w:val="0"/>
      <w:marRight w:val="0"/>
      <w:marTop w:val="0"/>
      <w:marBottom w:val="0"/>
      <w:divBdr>
        <w:top w:val="none" w:sz="0" w:space="0" w:color="auto"/>
        <w:left w:val="none" w:sz="0" w:space="0" w:color="auto"/>
        <w:bottom w:val="none" w:sz="0" w:space="0" w:color="auto"/>
        <w:right w:val="none" w:sz="0" w:space="0" w:color="auto"/>
      </w:divBdr>
      <w:divsChild>
        <w:div w:id="1323698572">
          <w:marLeft w:val="0"/>
          <w:marRight w:val="0"/>
          <w:marTop w:val="0"/>
          <w:marBottom w:val="0"/>
          <w:divBdr>
            <w:top w:val="none" w:sz="0" w:space="0" w:color="auto"/>
            <w:left w:val="none" w:sz="0" w:space="0" w:color="auto"/>
            <w:bottom w:val="none" w:sz="0" w:space="0" w:color="auto"/>
            <w:right w:val="none" w:sz="0" w:space="0" w:color="auto"/>
          </w:divBdr>
          <w:divsChild>
            <w:div w:id="500969861">
              <w:marLeft w:val="0"/>
              <w:marRight w:val="0"/>
              <w:marTop w:val="0"/>
              <w:marBottom w:val="0"/>
              <w:divBdr>
                <w:top w:val="none" w:sz="0" w:space="0" w:color="auto"/>
                <w:left w:val="none" w:sz="0" w:space="0" w:color="auto"/>
                <w:bottom w:val="none" w:sz="0" w:space="0" w:color="auto"/>
                <w:right w:val="none" w:sz="0" w:space="0" w:color="auto"/>
              </w:divBdr>
              <w:divsChild>
                <w:div w:id="6058473">
                  <w:marLeft w:val="0"/>
                  <w:marRight w:val="0"/>
                  <w:marTop w:val="0"/>
                  <w:marBottom w:val="0"/>
                  <w:divBdr>
                    <w:top w:val="none" w:sz="0" w:space="0" w:color="auto"/>
                    <w:left w:val="none" w:sz="0" w:space="0" w:color="auto"/>
                    <w:bottom w:val="none" w:sz="0" w:space="0" w:color="auto"/>
                    <w:right w:val="none" w:sz="0" w:space="0" w:color="auto"/>
                  </w:divBdr>
                  <w:divsChild>
                    <w:div w:id="1109468616">
                      <w:marLeft w:val="0"/>
                      <w:marRight w:val="0"/>
                      <w:marTop w:val="0"/>
                      <w:marBottom w:val="0"/>
                      <w:divBdr>
                        <w:top w:val="none" w:sz="0" w:space="0" w:color="auto"/>
                        <w:left w:val="none" w:sz="0" w:space="0" w:color="auto"/>
                        <w:bottom w:val="none" w:sz="0" w:space="0" w:color="auto"/>
                        <w:right w:val="none" w:sz="0" w:space="0" w:color="auto"/>
                      </w:divBdr>
                      <w:divsChild>
                        <w:div w:id="1451900627">
                          <w:marLeft w:val="405"/>
                          <w:marRight w:val="0"/>
                          <w:marTop w:val="0"/>
                          <w:marBottom w:val="0"/>
                          <w:divBdr>
                            <w:top w:val="none" w:sz="0" w:space="0" w:color="auto"/>
                            <w:left w:val="none" w:sz="0" w:space="0" w:color="auto"/>
                            <w:bottom w:val="none" w:sz="0" w:space="0" w:color="auto"/>
                            <w:right w:val="none" w:sz="0" w:space="0" w:color="auto"/>
                          </w:divBdr>
                          <w:divsChild>
                            <w:div w:id="120197901">
                              <w:marLeft w:val="0"/>
                              <w:marRight w:val="0"/>
                              <w:marTop w:val="0"/>
                              <w:marBottom w:val="0"/>
                              <w:divBdr>
                                <w:top w:val="none" w:sz="0" w:space="0" w:color="auto"/>
                                <w:left w:val="none" w:sz="0" w:space="0" w:color="auto"/>
                                <w:bottom w:val="none" w:sz="0" w:space="0" w:color="auto"/>
                                <w:right w:val="none" w:sz="0" w:space="0" w:color="auto"/>
                              </w:divBdr>
                              <w:divsChild>
                                <w:div w:id="1301954611">
                                  <w:marLeft w:val="0"/>
                                  <w:marRight w:val="0"/>
                                  <w:marTop w:val="0"/>
                                  <w:marBottom w:val="0"/>
                                  <w:divBdr>
                                    <w:top w:val="none" w:sz="0" w:space="0" w:color="auto"/>
                                    <w:left w:val="none" w:sz="0" w:space="0" w:color="auto"/>
                                    <w:bottom w:val="none" w:sz="0" w:space="0" w:color="auto"/>
                                    <w:right w:val="none" w:sz="0" w:space="0" w:color="auto"/>
                                  </w:divBdr>
                                  <w:divsChild>
                                    <w:div w:id="1336032355">
                                      <w:marLeft w:val="0"/>
                                      <w:marRight w:val="0"/>
                                      <w:marTop w:val="60"/>
                                      <w:marBottom w:val="0"/>
                                      <w:divBdr>
                                        <w:top w:val="none" w:sz="0" w:space="0" w:color="auto"/>
                                        <w:left w:val="none" w:sz="0" w:space="0" w:color="auto"/>
                                        <w:bottom w:val="none" w:sz="0" w:space="0" w:color="auto"/>
                                        <w:right w:val="none" w:sz="0" w:space="0" w:color="auto"/>
                                      </w:divBdr>
                                      <w:divsChild>
                                        <w:div w:id="1845506924">
                                          <w:marLeft w:val="0"/>
                                          <w:marRight w:val="0"/>
                                          <w:marTop w:val="0"/>
                                          <w:marBottom w:val="0"/>
                                          <w:divBdr>
                                            <w:top w:val="none" w:sz="0" w:space="0" w:color="auto"/>
                                            <w:left w:val="none" w:sz="0" w:space="0" w:color="auto"/>
                                            <w:bottom w:val="none" w:sz="0" w:space="0" w:color="auto"/>
                                            <w:right w:val="none" w:sz="0" w:space="0" w:color="auto"/>
                                          </w:divBdr>
                                          <w:divsChild>
                                            <w:div w:id="1915506650">
                                              <w:marLeft w:val="0"/>
                                              <w:marRight w:val="0"/>
                                              <w:marTop w:val="0"/>
                                              <w:marBottom w:val="0"/>
                                              <w:divBdr>
                                                <w:top w:val="none" w:sz="0" w:space="0" w:color="auto"/>
                                                <w:left w:val="none" w:sz="0" w:space="0" w:color="auto"/>
                                                <w:bottom w:val="none" w:sz="0" w:space="0" w:color="auto"/>
                                                <w:right w:val="none" w:sz="0" w:space="0" w:color="auto"/>
                                              </w:divBdr>
                                              <w:divsChild>
                                                <w:div w:id="150752948">
                                                  <w:marLeft w:val="0"/>
                                                  <w:marRight w:val="0"/>
                                                  <w:marTop w:val="0"/>
                                                  <w:marBottom w:val="0"/>
                                                  <w:divBdr>
                                                    <w:top w:val="none" w:sz="0" w:space="0" w:color="auto"/>
                                                    <w:left w:val="none" w:sz="0" w:space="0" w:color="auto"/>
                                                    <w:bottom w:val="none" w:sz="0" w:space="0" w:color="auto"/>
                                                    <w:right w:val="none" w:sz="0" w:space="0" w:color="auto"/>
                                                  </w:divBdr>
                                                  <w:divsChild>
                                                    <w:div w:id="518814732">
                                                      <w:marLeft w:val="0"/>
                                                      <w:marRight w:val="0"/>
                                                      <w:marTop w:val="0"/>
                                                      <w:marBottom w:val="0"/>
                                                      <w:divBdr>
                                                        <w:top w:val="none" w:sz="0" w:space="0" w:color="auto"/>
                                                        <w:left w:val="none" w:sz="0" w:space="0" w:color="auto"/>
                                                        <w:bottom w:val="none" w:sz="0" w:space="0" w:color="auto"/>
                                                        <w:right w:val="none" w:sz="0" w:space="0" w:color="auto"/>
                                                      </w:divBdr>
                                                      <w:divsChild>
                                                        <w:div w:id="777142237">
                                                          <w:marLeft w:val="0"/>
                                                          <w:marRight w:val="0"/>
                                                          <w:marTop w:val="0"/>
                                                          <w:marBottom w:val="0"/>
                                                          <w:divBdr>
                                                            <w:top w:val="none" w:sz="0" w:space="0" w:color="auto"/>
                                                            <w:left w:val="none" w:sz="0" w:space="0" w:color="auto"/>
                                                            <w:bottom w:val="none" w:sz="0" w:space="0" w:color="auto"/>
                                                            <w:right w:val="none" w:sz="0" w:space="0" w:color="auto"/>
                                                          </w:divBdr>
                                                          <w:divsChild>
                                                            <w:div w:id="1742173337">
                                                              <w:marLeft w:val="0"/>
                                                              <w:marRight w:val="0"/>
                                                              <w:marTop w:val="0"/>
                                                              <w:marBottom w:val="0"/>
                                                              <w:divBdr>
                                                                <w:top w:val="none" w:sz="0" w:space="0" w:color="auto"/>
                                                                <w:left w:val="none" w:sz="0" w:space="0" w:color="auto"/>
                                                                <w:bottom w:val="none" w:sz="0" w:space="0" w:color="auto"/>
                                                                <w:right w:val="none" w:sz="0" w:space="0" w:color="auto"/>
                                                              </w:divBdr>
                                                              <w:divsChild>
                                                                <w:div w:id="1877280401">
                                                                  <w:marLeft w:val="0"/>
                                                                  <w:marRight w:val="0"/>
                                                                  <w:marTop w:val="0"/>
                                                                  <w:marBottom w:val="0"/>
                                                                  <w:divBdr>
                                                                    <w:top w:val="none" w:sz="0" w:space="0" w:color="auto"/>
                                                                    <w:left w:val="none" w:sz="0" w:space="0" w:color="auto"/>
                                                                    <w:bottom w:val="none" w:sz="0" w:space="0" w:color="auto"/>
                                                                    <w:right w:val="none" w:sz="0" w:space="0" w:color="auto"/>
                                                                  </w:divBdr>
                                                                  <w:divsChild>
                                                                    <w:div w:id="12097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3861799">
      <w:bodyDiv w:val="1"/>
      <w:marLeft w:val="0"/>
      <w:marRight w:val="0"/>
      <w:marTop w:val="0"/>
      <w:marBottom w:val="0"/>
      <w:divBdr>
        <w:top w:val="none" w:sz="0" w:space="0" w:color="auto"/>
        <w:left w:val="none" w:sz="0" w:space="0" w:color="auto"/>
        <w:bottom w:val="none" w:sz="0" w:space="0" w:color="auto"/>
        <w:right w:val="none" w:sz="0" w:space="0" w:color="auto"/>
      </w:divBdr>
    </w:div>
    <w:div w:id="1119570221">
      <w:bodyDiv w:val="1"/>
      <w:marLeft w:val="0"/>
      <w:marRight w:val="0"/>
      <w:marTop w:val="0"/>
      <w:marBottom w:val="0"/>
      <w:divBdr>
        <w:top w:val="none" w:sz="0" w:space="0" w:color="auto"/>
        <w:left w:val="none" w:sz="0" w:space="0" w:color="auto"/>
        <w:bottom w:val="none" w:sz="0" w:space="0" w:color="auto"/>
        <w:right w:val="none" w:sz="0" w:space="0" w:color="auto"/>
      </w:divBdr>
    </w:div>
    <w:div w:id="1120687712">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3039790">
      <w:bodyDiv w:val="1"/>
      <w:marLeft w:val="0"/>
      <w:marRight w:val="0"/>
      <w:marTop w:val="0"/>
      <w:marBottom w:val="0"/>
      <w:divBdr>
        <w:top w:val="none" w:sz="0" w:space="0" w:color="auto"/>
        <w:left w:val="none" w:sz="0" w:space="0" w:color="auto"/>
        <w:bottom w:val="none" w:sz="0" w:space="0" w:color="auto"/>
        <w:right w:val="none" w:sz="0" w:space="0" w:color="auto"/>
      </w:divBdr>
    </w:div>
    <w:div w:id="1126584183">
      <w:bodyDiv w:val="1"/>
      <w:marLeft w:val="0"/>
      <w:marRight w:val="0"/>
      <w:marTop w:val="0"/>
      <w:marBottom w:val="0"/>
      <w:divBdr>
        <w:top w:val="none" w:sz="0" w:space="0" w:color="auto"/>
        <w:left w:val="none" w:sz="0" w:space="0" w:color="auto"/>
        <w:bottom w:val="none" w:sz="0" w:space="0" w:color="auto"/>
        <w:right w:val="none" w:sz="0" w:space="0" w:color="auto"/>
      </w:divBdr>
    </w:div>
    <w:div w:id="1129740314">
      <w:bodyDiv w:val="1"/>
      <w:marLeft w:val="0"/>
      <w:marRight w:val="0"/>
      <w:marTop w:val="0"/>
      <w:marBottom w:val="0"/>
      <w:divBdr>
        <w:top w:val="none" w:sz="0" w:space="0" w:color="auto"/>
        <w:left w:val="none" w:sz="0" w:space="0" w:color="auto"/>
        <w:bottom w:val="none" w:sz="0" w:space="0" w:color="auto"/>
        <w:right w:val="none" w:sz="0" w:space="0" w:color="auto"/>
      </w:divBdr>
    </w:div>
    <w:div w:id="1143892040">
      <w:bodyDiv w:val="1"/>
      <w:marLeft w:val="0"/>
      <w:marRight w:val="0"/>
      <w:marTop w:val="0"/>
      <w:marBottom w:val="0"/>
      <w:divBdr>
        <w:top w:val="none" w:sz="0" w:space="0" w:color="auto"/>
        <w:left w:val="none" w:sz="0" w:space="0" w:color="auto"/>
        <w:bottom w:val="none" w:sz="0" w:space="0" w:color="auto"/>
        <w:right w:val="none" w:sz="0" w:space="0" w:color="auto"/>
      </w:divBdr>
    </w:div>
    <w:div w:id="1150712961">
      <w:bodyDiv w:val="1"/>
      <w:marLeft w:val="0"/>
      <w:marRight w:val="0"/>
      <w:marTop w:val="0"/>
      <w:marBottom w:val="0"/>
      <w:divBdr>
        <w:top w:val="none" w:sz="0" w:space="0" w:color="auto"/>
        <w:left w:val="none" w:sz="0" w:space="0" w:color="auto"/>
        <w:bottom w:val="none" w:sz="0" w:space="0" w:color="auto"/>
        <w:right w:val="none" w:sz="0" w:space="0" w:color="auto"/>
      </w:divBdr>
      <w:divsChild>
        <w:div w:id="495190633">
          <w:marLeft w:val="0"/>
          <w:marRight w:val="0"/>
          <w:marTop w:val="0"/>
          <w:marBottom w:val="0"/>
          <w:divBdr>
            <w:top w:val="none" w:sz="0" w:space="0" w:color="auto"/>
            <w:left w:val="none" w:sz="0" w:space="0" w:color="auto"/>
            <w:bottom w:val="none" w:sz="0" w:space="0" w:color="auto"/>
            <w:right w:val="none" w:sz="0" w:space="0" w:color="auto"/>
          </w:divBdr>
        </w:div>
        <w:div w:id="1899396536">
          <w:marLeft w:val="0"/>
          <w:marRight w:val="0"/>
          <w:marTop w:val="0"/>
          <w:marBottom w:val="0"/>
          <w:divBdr>
            <w:top w:val="none" w:sz="0" w:space="0" w:color="auto"/>
            <w:left w:val="none" w:sz="0" w:space="0" w:color="auto"/>
            <w:bottom w:val="none" w:sz="0" w:space="0" w:color="auto"/>
            <w:right w:val="none" w:sz="0" w:space="0" w:color="auto"/>
          </w:divBdr>
        </w:div>
      </w:divsChild>
    </w:div>
    <w:div w:id="1158113540">
      <w:bodyDiv w:val="1"/>
      <w:marLeft w:val="0"/>
      <w:marRight w:val="0"/>
      <w:marTop w:val="0"/>
      <w:marBottom w:val="0"/>
      <w:divBdr>
        <w:top w:val="none" w:sz="0" w:space="0" w:color="auto"/>
        <w:left w:val="none" w:sz="0" w:space="0" w:color="auto"/>
        <w:bottom w:val="none" w:sz="0" w:space="0" w:color="auto"/>
        <w:right w:val="none" w:sz="0" w:space="0" w:color="auto"/>
      </w:divBdr>
    </w:div>
    <w:div w:id="1158230742">
      <w:bodyDiv w:val="1"/>
      <w:marLeft w:val="0"/>
      <w:marRight w:val="0"/>
      <w:marTop w:val="0"/>
      <w:marBottom w:val="0"/>
      <w:divBdr>
        <w:top w:val="none" w:sz="0" w:space="0" w:color="auto"/>
        <w:left w:val="none" w:sz="0" w:space="0" w:color="auto"/>
        <w:bottom w:val="none" w:sz="0" w:space="0" w:color="auto"/>
        <w:right w:val="none" w:sz="0" w:space="0" w:color="auto"/>
      </w:divBdr>
    </w:div>
    <w:div w:id="1161235418">
      <w:bodyDiv w:val="1"/>
      <w:marLeft w:val="0"/>
      <w:marRight w:val="0"/>
      <w:marTop w:val="0"/>
      <w:marBottom w:val="0"/>
      <w:divBdr>
        <w:top w:val="none" w:sz="0" w:space="0" w:color="auto"/>
        <w:left w:val="none" w:sz="0" w:space="0" w:color="auto"/>
        <w:bottom w:val="none" w:sz="0" w:space="0" w:color="auto"/>
        <w:right w:val="none" w:sz="0" w:space="0" w:color="auto"/>
      </w:divBdr>
      <w:divsChild>
        <w:div w:id="1412848962">
          <w:marLeft w:val="0"/>
          <w:marRight w:val="0"/>
          <w:marTop w:val="0"/>
          <w:marBottom w:val="0"/>
          <w:divBdr>
            <w:top w:val="none" w:sz="0" w:space="0" w:color="auto"/>
            <w:left w:val="none" w:sz="0" w:space="0" w:color="auto"/>
            <w:bottom w:val="none" w:sz="0" w:space="0" w:color="auto"/>
            <w:right w:val="none" w:sz="0" w:space="0" w:color="auto"/>
          </w:divBdr>
          <w:divsChild>
            <w:div w:id="1308582954">
              <w:marLeft w:val="0"/>
              <w:marRight w:val="0"/>
              <w:marTop w:val="0"/>
              <w:marBottom w:val="0"/>
              <w:divBdr>
                <w:top w:val="none" w:sz="0" w:space="0" w:color="auto"/>
                <w:left w:val="none" w:sz="0" w:space="0" w:color="auto"/>
                <w:bottom w:val="none" w:sz="0" w:space="0" w:color="auto"/>
                <w:right w:val="none" w:sz="0" w:space="0" w:color="auto"/>
              </w:divBdr>
              <w:divsChild>
                <w:div w:id="1864007120">
                  <w:marLeft w:val="0"/>
                  <w:marRight w:val="0"/>
                  <w:marTop w:val="0"/>
                  <w:marBottom w:val="0"/>
                  <w:divBdr>
                    <w:top w:val="none" w:sz="0" w:space="0" w:color="auto"/>
                    <w:left w:val="none" w:sz="0" w:space="0" w:color="auto"/>
                    <w:bottom w:val="none" w:sz="0" w:space="0" w:color="auto"/>
                    <w:right w:val="none" w:sz="0" w:space="0" w:color="auto"/>
                  </w:divBdr>
                  <w:divsChild>
                    <w:div w:id="1246500278">
                      <w:marLeft w:val="0"/>
                      <w:marRight w:val="0"/>
                      <w:marTop w:val="0"/>
                      <w:marBottom w:val="0"/>
                      <w:divBdr>
                        <w:top w:val="none" w:sz="0" w:space="0" w:color="auto"/>
                        <w:left w:val="none" w:sz="0" w:space="0" w:color="auto"/>
                        <w:bottom w:val="none" w:sz="0" w:space="0" w:color="auto"/>
                        <w:right w:val="none" w:sz="0" w:space="0" w:color="auto"/>
                      </w:divBdr>
                      <w:divsChild>
                        <w:div w:id="912466314">
                          <w:marLeft w:val="0"/>
                          <w:marRight w:val="0"/>
                          <w:marTop w:val="0"/>
                          <w:marBottom w:val="0"/>
                          <w:divBdr>
                            <w:top w:val="none" w:sz="0" w:space="0" w:color="auto"/>
                            <w:left w:val="none" w:sz="0" w:space="0" w:color="auto"/>
                            <w:bottom w:val="none" w:sz="0" w:space="0" w:color="auto"/>
                            <w:right w:val="none" w:sz="0" w:space="0" w:color="auto"/>
                          </w:divBdr>
                          <w:divsChild>
                            <w:div w:id="442767320">
                              <w:marLeft w:val="15"/>
                              <w:marRight w:val="195"/>
                              <w:marTop w:val="0"/>
                              <w:marBottom w:val="0"/>
                              <w:divBdr>
                                <w:top w:val="none" w:sz="0" w:space="0" w:color="auto"/>
                                <w:left w:val="none" w:sz="0" w:space="0" w:color="auto"/>
                                <w:bottom w:val="none" w:sz="0" w:space="0" w:color="auto"/>
                                <w:right w:val="none" w:sz="0" w:space="0" w:color="auto"/>
                              </w:divBdr>
                              <w:divsChild>
                                <w:div w:id="294069061">
                                  <w:marLeft w:val="0"/>
                                  <w:marRight w:val="0"/>
                                  <w:marTop w:val="0"/>
                                  <w:marBottom w:val="0"/>
                                  <w:divBdr>
                                    <w:top w:val="none" w:sz="0" w:space="0" w:color="auto"/>
                                    <w:left w:val="none" w:sz="0" w:space="0" w:color="auto"/>
                                    <w:bottom w:val="none" w:sz="0" w:space="0" w:color="auto"/>
                                    <w:right w:val="none" w:sz="0" w:space="0" w:color="auto"/>
                                  </w:divBdr>
                                  <w:divsChild>
                                    <w:div w:id="2022465139">
                                      <w:marLeft w:val="0"/>
                                      <w:marRight w:val="0"/>
                                      <w:marTop w:val="0"/>
                                      <w:marBottom w:val="0"/>
                                      <w:divBdr>
                                        <w:top w:val="none" w:sz="0" w:space="0" w:color="auto"/>
                                        <w:left w:val="none" w:sz="0" w:space="0" w:color="auto"/>
                                        <w:bottom w:val="none" w:sz="0" w:space="0" w:color="auto"/>
                                        <w:right w:val="none" w:sz="0" w:space="0" w:color="auto"/>
                                      </w:divBdr>
                                      <w:divsChild>
                                        <w:div w:id="53941716">
                                          <w:marLeft w:val="0"/>
                                          <w:marRight w:val="0"/>
                                          <w:marTop w:val="0"/>
                                          <w:marBottom w:val="0"/>
                                          <w:divBdr>
                                            <w:top w:val="none" w:sz="0" w:space="0" w:color="auto"/>
                                            <w:left w:val="none" w:sz="0" w:space="0" w:color="auto"/>
                                            <w:bottom w:val="none" w:sz="0" w:space="0" w:color="auto"/>
                                            <w:right w:val="none" w:sz="0" w:space="0" w:color="auto"/>
                                          </w:divBdr>
                                          <w:divsChild>
                                            <w:div w:id="1804955482">
                                              <w:marLeft w:val="0"/>
                                              <w:marRight w:val="0"/>
                                              <w:marTop w:val="0"/>
                                              <w:marBottom w:val="0"/>
                                              <w:divBdr>
                                                <w:top w:val="none" w:sz="0" w:space="0" w:color="auto"/>
                                                <w:left w:val="none" w:sz="0" w:space="0" w:color="auto"/>
                                                <w:bottom w:val="none" w:sz="0" w:space="0" w:color="auto"/>
                                                <w:right w:val="none" w:sz="0" w:space="0" w:color="auto"/>
                                              </w:divBdr>
                                              <w:divsChild>
                                                <w:div w:id="292953129">
                                                  <w:marLeft w:val="0"/>
                                                  <w:marRight w:val="0"/>
                                                  <w:marTop w:val="0"/>
                                                  <w:marBottom w:val="0"/>
                                                  <w:divBdr>
                                                    <w:top w:val="none" w:sz="0" w:space="0" w:color="auto"/>
                                                    <w:left w:val="none" w:sz="0" w:space="0" w:color="auto"/>
                                                    <w:bottom w:val="none" w:sz="0" w:space="0" w:color="auto"/>
                                                    <w:right w:val="none" w:sz="0" w:space="0" w:color="auto"/>
                                                  </w:divBdr>
                                                  <w:divsChild>
                                                    <w:div w:id="1373455672">
                                                      <w:marLeft w:val="0"/>
                                                      <w:marRight w:val="0"/>
                                                      <w:marTop w:val="0"/>
                                                      <w:marBottom w:val="0"/>
                                                      <w:divBdr>
                                                        <w:top w:val="none" w:sz="0" w:space="0" w:color="auto"/>
                                                        <w:left w:val="none" w:sz="0" w:space="0" w:color="auto"/>
                                                        <w:bottom w:val="none" w:sz="0" w:space="0" w:color="auto"/>
                                                        <w:right w:val="none" w:sz="0" w:space="0" w:color="auto"/>
                                                      </w:divBdr>
                                                      <w:divsChild>
                                                        <w:div w:id="1761028044">
                                                          <w:marLeft w:val="0"/>
                                                          <w:marRight w:val="0"/>
                                                          <w:marTop w:val="0"/>
                                                          <w:marBottom w:val="0"/>
                                                          <w:divBdr>
                                                            <w:top w:val="none" w:sz="0" w:space="0" w:color="auto"/>
                                                            <w:left w:val="none" w:sz="0" w:space="0" w:color="auto"/>
                                                            <w:bottom w:val="none" w:sz="0" w:space="0" w:color="auto"/>
                                                            <w:right w:val="none" w:sz="0" w:space="0" w:color="auto"/>
                                                          </w:divBdr>
                                                          <w:divsChild>
                                                            <w:div w:id="1181892702">
                                                              <w:marLeft w:val="0"/>
                                                              <w:marRight w:val="0"/>
                                                              <w:marTop w:val="0"/>
                                                              <w:marBottom w:val="0"/>
                                                              <w:divBdr>
                                                                <w:top w:val="none" w:sz="0" w:space="0" w:color="auto"/>
                                                                <w:left w:val="none" w:sz="0" w:space="0" w:color="auto"/>
                                                                <w:bottom w:val="none" w:sz="0" w:space="0" w:color="auto"/>
                                                                <w:right w:val="none" w:sz="0" w:space="0" w:color="auto"/>
                                                              </w:divBdr>
                                                              <w:divsChild>
                                                                <w:div w:id="2006476515">
                                                                  <w:marLeft w:val="0"/>
                                                                  <w:marRight w:val="0"/>
                                                                  <w:marTop w:val="0"/>
                                                                  <w:marBottom w:val="0"/>
                                                                  <w:divBdr>
                                                                    <w:top w:val="none" w:sz="0" w:space="0" w:color="auto"/>
                                                                    <w:left w:val="none" w:sz="0" w:space="0" w:color="auto"/>
                                                                    <w:bottom w:val="none" w:sz="0" w:space="0" w:color="auto"/>
                                                                    <w:right w:val="none" w:sz="0" w:space="0" w:color="auto"/>
                                                                  </w:divBdr>
                                                                  <w:divsChild>
                                                                    <w:div w:id="1535116478">
                                                                      <w:marLeft w:val="405"/>
                                                                      <w:marRight w:val="0"/>
                                                                      <w:marTop w:val="0"/>
                                                                      <w:marBottom w:val="0"/>
                                                                      <w:divBdr>
                                                                        <w:top w:val="none" w:sz="0" w:space="0" w:color="auto"/>
                                                                        <w:left w:val="none" w:sz="0" w:space="0" w:color="auto"/>
                                                                        <w:bottom w:val="none" w:sz="0" w:space="0" w:color="auto"/>
                                                                        <w:right w:val="none" w:sz="0" w:space="0" w:color="auto"/>
                                                                      </w:divBdr>
                                                                      <w:divsChild>
                                                                        <w:div w:id="430273463">
                                                                          <w:marLeft w:val="0"/>
                                                                          <w:marRight w:val="0"/>
                                                                          <w:marTop w:val="0"/>
                                                                          <w:marBottom w:val="0"/>
                                                                          <w:divBdr>
                                                                            <w:top w:val="none" w:sz="0" w:space="0" w:color="auto"/>
                                                                            <w:left w:val="none" w:sz="0" w:space="0" w:color="auto"/>
                                                                            <w:bottom w:val="none" w:sz="0" w:space="0" w:color="auto"/>
                                                                            <w:right w:val="none" w:sz="0" w:space="0" w:color="auto"/>
                                                                          </w:divBdr>
                                                                          <w:divsChild>
                                                                            <w:div w:id="1631014721">
                                                                              <w:marLeft w:val="0"/>
                                                                              <w:marRight w:val="0"/>
                                                                              <w:marTop w:val="0"/>
                                                                              <w:marBottom w:val="0"/>
                                                                              <w:divBdr>
                                                                                <w:top w:val="none" w:sz="0" w:space="0" w:color="auto"/>
                                                                                <w:left w:val="none" w:sz="0" w:space="0" w:color="auto"/>
                                                                                <w:bottom w:val="none" w:sz="0" w:space="0" w:color="auto"/>
                                                                                <w:right w:val="none" w:sz="0" w:space="0" w:color="auto"/>
                                                                              </w:divBdr>
                                                                              <w:divsChild>
                                                                                <w:div w:id="1715234595">
                                                                                  <w:marLeft w:val="0"/>
                                                                                  <w:marRight w:val="0"/>
                                                                                  <w:marTop w:val="0"/>
                                                                                  <w:marBottom w:val="0"/>
                                                                                  <w:divBdr>
                                                                                    <w:top w:val="none" w:sz="0" w:space="0" w:color="auto"/>
                                                                                    <w:left w:val="none" w:sz="0" w:space="0" w:color="auto"/>
                                                                                    <w:bottom w:val="none" w:sz="0" w:space="0" w:color="auto"/>
                                                                                    <w:right w:val="none" w:sz="0" w:space="0" w:color="auto"/>
                                                                                  </w:divBdr>
                                                                                  <w:divsChild>
                                                                                    <w:div w:id="482935504">
                                                                                      <w:marLeft w:val="0"/>
                                                                                      <w:marRight w:val="0"/>
                                                                                      <w:marTop w:val="0"/>
                                                                                      <w:marBottom w:val="0"/>
                                                                                      <w:divBdr>
                                                                                        <w:top w:val="none" w:sz="0" w:space="0" w:color="auto"/>
                                                                                        <w:left w:val="none" w:sz="0" w:space="0" w:color="auto"/>
                                                                                        <w:bottom w:val="none" w:sz="0" w:space="0" w:color="auto"/>
                                                                                        <w:right w:val="none" w:sz="0" w:space="0" w:color="auto"/>
                                                                                      </w:divBdr>
                                                                                      <w:divsChild>
                                                                                        <w:div w:id="374542581">
                                                                                          <w:marLeft w:val="0"/>
                                                                                          <w:marRight w:val="0"/>
                                                                                          <w:marTop w:val="0"/>
                                                                                          <w:marBottom w:val="0"/>
                                                                                          <w:divBdr>
                                                                                            <w:top w:val="none" w:sz="0" w:space="0" w:color="auto"/>
                                                                                            <w:left w:val="none" w:sz="0" w:space="0" w:color="auto"/>
                                                                                            <w:bottom w:val="none" w:sz="0" w:space="0" w:color="auto"/>
                                                                                            <w:right w:val="none" w:sz="0" w:space="0" w:color="auto"/>
                                                                                          </w:divBdr>
                                                                                          <w:divsChild>
                                                                                            <w:div w:id="1034842934">
                                                                                              <w:marLeft w:val="0"/>
                                                                                              <w:marRight w:val="0"/>
                                                                                              <w:marTop w:val="0"/>
                                                                                              <w:marBottom w:val="0"/>
                                                                                              <w:divBdr>
                                                                                                <w:top w:val="none" w:sz="0" w:space="0" w:color="auto"/>
                                                                                                <w:left w:val="none" w:sz="0" w:space="0" w:color="auto"/>
                                                                                                <w:bottom w:val="none" w:sz="0" w:space="0" w:color="auto"/>
                                                                                                <w:right w:val="none" w:sz="0" w:space="0" w:color="auto"/>
                                                                                              </w:divBdr>
                                                                                              <w:divsChild>
                                                                                                <w:div w:id="1725107119">
                                                                                                  <w:marLeft w:val="0"/>
                                                                                                  <w:marRight w:val="0"/>
                                                                                                  <w:marTop w:val="15"/>
                                                                                                  <w:marBottom w:val="0"/>
                                                                                                  <w:divBdr>
                                                                                                    <w:top w:val="none" w:sz="0" w:space="0" w:color="auto"/>
                                                                                                    <w:left w:val="none" w:sz="0" w:space="0" w:color="auto"/>
                                                                                                    <w:bottom w:val="single" w:sz="6" w:space="15" w:color="auto"/>
                                                                                                    <w:right w:val="none" w:sz="0" w:space="0" w:color="auto"/>
                                                                                                  </w:divBdr>
                                                                                                  <w:divsChild>
                                                                                                    <w:div w:id="2045397053">
                                                                                                      <w:marLeft w:val="0"/>
                                                                                                      <w:marRight w:val="0"/>
                                                                                                      <w:marTop w:val="180"/>
                                                                                                      <w:marBottom w:val="0"/>
                                                                                                      <w:divBdr>
                                                                                                        <w:top w:val="none" w:sz="0" w:space="0" w:color="auto"/>
                                                                                                        <w:left w:val="none" w:sz="0" w:space="0" w:color="auto"/>
                                                                                                        <w:bottom w:val="none" w:sz="0" w:space="0" w:color="auto"/>
                                                                                                        <w:right w:val="none" w:sz="0" w:space="0" w:color="auto"/>
                                                                                                      </w:divBdr>
                                                                                                      <w:divsChild>
                                                                                                        <w:div w:id="2037079093">
                                                                                                          <w:marLeft w:val="0"/>
                                                                                                          <w:marRight w:val="0"/>
                                                                                                          <w:marTop w:val="0"/>
                                                                                                          <w:marBottom w:val="0"/>
                                                                                                          <w:divBdr>
                                                                                                            <w:top w:val="none" w:sz="0" w:space="0" w:color="auto"/>
                                                                                                            <w:left w:val="none" w:sz="0" w:space="0" w:color="auto"/>
                                                                                                            <w:bottom w:val="none" w:sz="0" w:space="0" w:color="auto"/>
                                                                                                            <w:right w:val="none" w:sz="0" w:space="0" w:color="auto"/>
                                                                                                          </w:divBdr>
                                                                                                          <w:divsChild>
                                                                                                            <w:div w:id="1368486309">
                                                                                                              <w:marLeft w:val="0"/>
                                                                                                              <w:marRight w:val="0"/>
                                                                                                              <w:marTop w:val="30"/>
                                                                                                              <w:marBottom w:val="0"/>
                                                                                                              <w:divBdr>
                                                                                                                <w:top w:val="none" w:sz="0" w:space="0" w:color="auto"/>
                                                                                                                <w:left w:val="none" w:sz="0" w:space="0" w:color="auto"/>
                                                                                                                <w:bottom w:val="none" w:sz="0" w:space="0" w:color="auto"/>
                                                                                                                <w:right w:val="none" w:sz="0" w:space="0" w:color="auto"/>
                                                                                                              </w:divBdr>
                                                                                                              <w:divsChild>
                                                                                                                <w:div w:id="664942918">
                                                                                                                  <w:marLeft w:val="0"/>
                                                                                                                  <w:marRight w:val="0"/>
                                                                                                                  <w:marTop w:val="0"/>
                                                                                                                  <w:marBottom w:val="0"/>
                                                                                                                  <w:divBdr>
                                                                                                                    <w:top w:val="none" w:sz="0" w:space="0" w:color="auto"/>
                                                                                                                    <w:left w:val="single" w:sz="12" w:space="9" w:color="auto"/>
                                                                                                                    <w:bottom w:val="none" w:sz="0" w:space="0" w:color="auto"/>
                                                                                                                    <w:right w:val="none" w:sz="0" w:space="0" w:color="auto"/>
                                                                                                                  </w:divBdr>
                                                                                                                  <w:divsChild>
                                                                                                                    <w:div w:id="534198417">
                                                                                                                      <w:marLeft w:val="0"/>
                                                                                                                      <w:marRight w:val="0"/>
                                                                                                                      <w:marTop w:val="0"/>
                                                                                                                      <w:marBottom w:val="0"/>
                                                                                                                      <w:divBdr>
                                                                                                                        <w:top w:val="none" w:sz="0" w:space="0" w:color="auto"/>
                                                                                                                        <w:left w:val="none" w:sz="0" w:space="0" w:color="auto"/>
                                                                                                                        <w:bottom w:val="none" w:sz="0" w:space="0" w:color="auto"/>
                                                                                                                        <w:right w:val="none" w:sz="0" w:space="0" w:color="auto"/>
                                                                                                                      </w:divBdr>
                                                                                                                      <w:divsChild>
                                                                                                                        <w:div w:id="14234668">
                                                                                                                          <w:marLeft w:val="0"/>
                                                                                                                          <w:marRight w:val="0"/>
                                                                                                                          <w:marTop w:val="0"/>
                                                                                                                          <w:marBottom w:val="0"/>
                                                                                                                          <w:divBdr>
                                                                                                                            <w:top w:val="none" w:sz="0" w:space="0" w:color="auto"/>
                                                                                                                            <w:left w:val="none" w:sz="0" w:space="0" w:color="auto"/>
                                                                                                                            <w:bottom w:val="none" w:sz="0" w:space="0" w:color="auto"/>
                                                                                                                            <w:right w:val="none" w:sz="0" w:space="0" w:color="auto"/>
                                                                                                                          </w:divBdr>
                                                                                                                          <w:divsChild>
                                                                                                                            <w:div w:id="380599365">
                                                                                                                              <w:marLeft w:val="600"/>
                                                                                                                              <w:marRight w:val="600"/>
                                                                                                                              <w:marTop w:val="280"/>
                                                                                                                              <w:marBottom w:val="280"/>
                                                                                                                              <w:divBdr>
                                                                                                                                <w:top w:val="none" w:sz="0" w:space="0" w:color="auto"/>
                                                                                                                                <w:left w:val="none" w:sz="0" w:space="0" w:color="auto"/>
                                                                                                                                <w:bottom w:val="none" w:sz="0" w:space="0" w:color="auto"/>
                                                                                                                                <w:right w:val="none" w:sz="0" w:space="0" w:color="auto"/>
                                                                                                                              </w:divBdr>
                                                                                                                              <w:divsChild>
                                                                                                                                <w:div w:id="1614626237">
                                                                                                                                  <w:marLeft w:val="0"/>
                                                                                                                                  <w:marRight w:val="0"/>
                                                                                                                                  <w:marTop w:val="0"/>
                                                                                                                                  <w:marBottom w:val="0"/>
                                                                                                                                  <w:divBdr>
                                                                                                                                    <w:top w:val="none" w:sz="0" w:space="0" w:color="auto"/>
                                                                                                                                    <w:left w:val="none" w:sz="0" w:space="0" w:color="auto"/>
                                                                                                                                    <w:bottom w:val="none" w:sz="0" w:space="0" w:color="auto"/>
                                                                                                                                    <w:right w:val="none" w:sz="0" w:space="0" w:color="auto"/>
                                                                                                                                  </w:divBdr>
                                                                                                                                  <w:divsChild>
                                                                                                                                    <w:div w:id="2115051628">
                                                                                                                                      <w:marLeft w:val="0"/>
                                                                                                                                      <w:marRight w:val="0"/>
                                                                                                                                      <w:marTop w:val="0"/>
                                                                                                                                      <w:marBottom w:val="0"/>
                                                                                                                                      <w:divBdr>
                                                                                                                                        <w:top w:val="none" w:sz="0" w:space="0" w:color="auto"/>
                                                                                                                                        <w:left w:val="none" w:sz="0" w:space="0" w:color="auto"/>
                                                                                                                                        <w:bottom w:val="none" w:sz="0" w:space="0" w:color="auto"/>
                                                                                                                                        <w:right w:val="none" w:sz="0" w:space="0" w:color="auto"/>
                                                                                                                                      </w:divBdr>
                                                                                                                                      <w:divsChild>
                                                                                                                                        <w:div w:id="1476141805">
                                                                                                                                          <w:marLeft w:val="0"/>
                                                                                                                                          <w:marRight w:val="0"/>
                                                                                                                                          <w:marTop w:val="0"/>
                                                                                                                                          <w:marBottom w:val="0"/>
                                                                                                                                          <w:divBdr>
                                                                                                                                            <w:top w:val="none" w:sz="0" w:space="0" w:color="auto"/>
                                                                                                                                            <w:left w:val="none" w:sz="0" w:space="0" w:color="auto"/>
                                                                                                                                            <w:bottom w:val="none" w:sz="0" w:space="0" w:color="auto"/>
                                                                                                                                            <w:right w:val="none" w:sz="0" w:space="0" w:color="auto"/>
                                                                                                                                          </w:divBdr>
                                                                                                                                        </w:div>
                                                                                                                                        <w:div w:id="1887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172008">
      <w:bodyDiv w:val="1"/>
      <w:marLeft w:val="0"/>
      <w:marRight w:val="0"/>
      <w:marTop w:val="0"/>
      <w:marBottom w:val="0"/>
      <w:divBdr>
        <w:top w:val="none" w:sz="0" w:space="0" w:color="auto"/>
        <w:left w:val="none" w:sz="0" w:space="0" w:color="auto"/>
        <w:bottom w:val="none" w:sz="0" w:space="0" w:color="auto"/>
        <w:right w:val="none" w:sz="0" w:space="0" w:color="auto"/>
      </w:divBdr>
    </w:div>
    <w:div w:id="1177884235">
      <w:bodyDiv w:val="1"/>
      <w:marLeft w:val="0"/>
      <w:marRight w:val="0"/>
      <w:marTop w:val="0"/>
      <w:marBottom w:val="0"/>
      <w:divBdr>
        <w:top w:val="none" w:sz="0" w:space="0" w:color="auto"/>
        <w:left w:val="none" w:sz="0" w:space="0" w:color="auto"/>
        <w:bottom w:val="none" w:sz="0" w:space="0" w:color="auto"/>
        <w:right w:val="none" w:sz="0" w:space="0" w:color="auto"/>
      </w:divBdr>
    </w:div>
    <w:div w:id="1179466870">
      <w:bodyDiv w:val="1"/>
      <w:marLeft w:val="0"/>
      <w:marRight w:val="0"/>
      <w:marTop w:val="0"/>
      <w:marBottom w:val="0"/>
      <w:divBdr>
        <w:top w:val="none" w:sz="0" w:space="0" w:color="auto"/>
        <w:left w:val="none" w:sz="0" w:space="0" w:color="auto"/>
        <w:bottom w:val="none" w:sz="0" w:space="0" w:color="auto"/>
        <w:right w:val="none" w:sz="0" w:space="0" w:color="auto"/>
      </w:divBdr>
    </w:div>
    <w:div w:id="1185167098">
      <w:bodyDiv w:val="1"/>
      <w:marLeft w:val="0"/>
      <w:marRight w:val="0"/>
      <w:marTop w:val="0"/>
      <w:marBottom w:val="0"/>
      <w:divBdr>
        <w:top w:val="none" w:sz="0" w:space="0" w:color="auto"/>
        <w:left w:val="none" w:sz="0" w:space="0" w:color="auto"/>
        <w:bottom w:val="none" w:sz="0" w:space="0" w:color="auto"/>
        <w:right w:val="none" w:sz="0" w:space="0" w:color="auto"/>
      </w:divBdr>
    </w:div>
    <w:div w:id="1198664986">
      <w:bodyDiv w:val="1"/>
      <w:marLeft w:val="0"/>
      <w:marRight w:val="0"/>
      <w:marTop w:val="0"/>
      <w:marBottom w:val="0"/>
      <w:divBdr>
        <w:top w:val="none" w:sz="0" w:space="0" w:color="auto"/>
        <w:left w:val="none" w:sz="0" w:space="0" w:color="auto"/>
        <w:bottom w:val="none" w:sz="0" w:space="0" w:color="auto"/>
        <w:right w:val="none" w:sz="0" w:space="0" w:color="auto"/>
      </w:divBdr>
    </w:div>
    <w:div w:id="1202209887">
      <w:bodyDiv w:val="1"/>
      <w:marLeft w:val="0"/>
      <w:marRight w:val="0"/>
      <w:marTop w:val="0"/>
      <w:marBottom w:val="0"/>
      <w:divBdr>
        <w:top w:val="none" w:sz="0" w:space="0" w:color="auto"/>
        <w:left w:val="none" w:sz="0" w:space="0" w:color="auto"/>
        <w:bottom w:val="none" w:sz="0" w:space="0" w:color="auto"/>
        <w:right w:val="none" w:sz="0" w:space="0" w:color="auto"/>
      </w:divBdr>
    </w:div>
    <w:div w:id="1206215623">
      <w:bodyDiv w:val="1"/>
      <w:marLeft w:val="0"/>
      <w:marRight w:val="0"/>
      <w:marTop w:val="0"/>
      <w:marBottom w:val="0"/>
      <w:divBdr>
        <w:top w:val="none" w:sz="0" w:space="0" w:color="auto"/>
        <w:left w:val="none" w:sz="0" w:space="0" w:color="auto"/>
        <w:bottom w:val="none" w:sz="0" w:space="0" w:color="auto"/>
        <w:right w:val="none" w:sz="0" w:space="0" w:color="auto"/>
      </w:divBdr>
    </w:div>
    <w:div w:id="1207181472">
      <w:bodyDiv w:val="1"/>
      <w:marLeft w:val="0"/>
      <w:marRight w:val="0"/>
      <w:marTop w:val="0"/>
      <w:marBottom w:val="0"/>
      <w:divBdr>
        <w:top w:val="none" w:sz="0" w:space="0" w:color="auto"/>
        <w:left w:val="none" w:sz="0" w:space="0" w:color="auto"/>
        <w:bottom w:val="none" w:sz="0" w:space="0" w:color="auto"/>
        <w:right w:val="none" w:sz="0" w:space="0" w:color="auto"/>
      </w:divBdr>
    </w:div>
    <w:div w:id="1215309441">
      <w:bodyDiv w:val="1"/>
      <w:marLeft w:val="0"/>
      <w:marRight w:val="0"/>
      <w:marTop w:val="0"/>
      <w:marBottom w:val="0"/>
      <w:divBdr>
        <w:top w:val="none" w:sz="0" w:space="0" w:color="auto"/>
        <w:left w:val="none" w:sz="0" w:space="0" w:color="auto"/>
        <w:bottom w:val="none" w:sz="0" w:space="0" w:color="auto"/>
        <w:right w:val="none" w:sz="0" w:space="0" w:color="auto"/>
      </w:divBdr>
    </w:div>
    <w:div w:id="1217812302">
      <w:bodyDiv w:val="1"/>
      <w:marLeft w:val="0"/>
      <w:marRight w:val="0"/>
      <w:marTop w:val="0"/>
      <w:marBottom w:val="0"/>
      <w:divBdr>
        <w:top w:val="none" w:sz="0" w:space="0" w:color="auto"/>
        <w:left w:val="none" w:sz="0" w:space="0" w:color="auto"/>
        <w:bottom w:val="none" w:sz="0" w:space="0" w:color="auto"/>
        <w:right w:val="none" w:sz="0" w:space="0" w:color="auto"/>
      </w:divBdr>
    </w:div>
    <w:div w:id="1222055307">
      <w:bodyDiv w:val="1"/>
      <w:marLeft w:val="0"/>
      <w:marRight w:val="0"/>
      <w:marTop w:val="0"/>
      <w:marBottom w:val="0"/>
      <w:divBdr>
        <w:top w:val="none" w:sz="0" w:space="0" w:color="auto"/>
        <w:left w:val="none" w:sz="0" w:space="0" w:color="auto"/>
        <w:bottom w:val="none" w:sz="0" w:space="0" w:color="auto"/>
        <w:right w:val="none" w:sz="0" w:space="0" w:color="auto"/>
      </w:divBdr>
    </w:div>
    <w:div w:id="1223635912">
      <w:bodyDiv w:val="1"/>
      <w:marLeft w:val="0"/>
      <w:marRight w:val="0"/>
      <w:marTop w:val="0"/>
      <w:marBottom w:val="0"/>
      <w:divBdr>
        <w:top w:val="none" w:sz="0" w:space="0" w:color="auto"/>
        <w:left w:val="none" w:sz="0" w:space="0" w:color="auto"/>
        <w:bottom w:val="none" w:sz="0" w:space="0" w:color="auto"/>
        <w:right w:val="none" w:sz="0" w:space="0" w:color="auto"/>
      </w:divBdr>
    </w:div>
    <w:div w:id="1226646702">
      <w:bodyDiv w:val="1"/>
      <w:marLeft w:val="0"/>
      <w:marRight w:val="0"/>
      <w:marTop w:val="0"/>
      <w:marBottom w:val="0"/>
      <w:divBdr>
        <w:top w:val="none" w:sz="0" w:space="0" w:color="auto"/>
        <w:left w:val="none" w:sz="0" w:space="0" w:color="auto"/>
        <w:bottom w:val="none" w:sz="0" w:space="0" w:color="auto"/>
        <w:right w:val="none" w:sz="0" w:space="0" w:color="auto"/>
      </w:divBdr>
    </w:div>
    <w:div w:id="1229194953">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37204070">
      <w:bodyDiv w:val="1"/>
      <w:marLeft w:val="0"/>
      <w:marRight w:val="0"/>
      <w:marTop w:val="0"/>
      <w:marBottom w:val="0"/>
      <w:divBdr>
        <w:top w:val="none" w:sz="0" w:space="0" w:color="auto"/>
        <w:left w:val="none" w:sz="0" w:space="0" w:color="auto"/>
        <w:bottom w:val="none" w:sz="0" w:space="0" w:color="auto"/>
        <w:right w:val="none" w:sz="0" w:space="0" w:color="auto"/>
      </w:divBdr>
    </w:div>
    <w:div w:id="1240024179">
      <w:bodyDiv w:val="1"/>
      <w:marLeft w:val="0"/>
      <w:marRight w:val="0"/>
      <w:marTop w:val="0"/>
      <w:marBottom w:val="0"/>
      <w:divBdr>
        <w:top w:val="none" w:sz="0" w:space="0" w:color="auto"/>
        <w:left w:val="none" w:sz="0" w:space="0" w:color="auto"/>
        <w:bottom w:val="none" w:sz="0" w:space="0" w:color="auto"/>
        <w:right w:val="none" w:sz="0" w:space="0" w:color="auto"/>
      </w:divBdr>
    </w:div>
    <w:div w:id="1242370829">
      <w:bodyDiv w:val="1"/>
      <w:marLeft w:val="0"/>
      <w:marRight w:val="0"/>
      <w:marTop w:val="0"/>
      <w:marBottom w:val="0"/>
      <w:divBdr>
        <w:top w:val="none" w:sz="0" w:space="0" w:color="auto"/>
        <w:left w:val="none" w:sz="0" w:space="0" w:color="auto"/>
        <w:bottom w:val="none" w:sz="0" w:space="0" w:color="auto"/>
        <w:right w:val="none" w:sz="0" w:space="0" w:color="auto"/>
      </w:divBdr>
    </w:div>
    <w:div w:id="1248078336">
      <w:bodyDiv w:val="1"/>
      <w:marLeft w:val="0"/>
      <w:marRight w:val="0"/>
      <w:marTop w:val="0"/>
      <w:marBottom w:val="0"/>
      <w:divBdr>
        <w:top w:val="none" w:sz="0" w:space="0" w:color="auto"/>
        <w:left w:val="none" w:sz="0" w:space="0" w:color="auto"/>
        <w:bottom w:val="none" w:sz="0" w:space="0" w:color="auto"/>
        <w:right w:val="none" w:sz="0" w:space="0" w:color="auto"/>
      </w:divBdr>
    </w:div>
    <w:div w:id="1251039484">
      <w:bodyDiv w:val="1"/>
      <w:marLeft w:val="0"/>
      <w:marRight w:val="0"/>
      <w:marTop w:val="0"/>
      <w:marBottom w:val="0"/>
      <w:divBdr>
        <w:top w:val="none" w:sz="0" w:space="0" w:color="auto"/>
        <w:left w:val="none" w:sz="0" w:space="0" w:color="auto"/>
        <w:bottom w:val="none" w:sz="0" w:space="0" w:color="auto"/>
        <w:right w:val="none" w:sz="0" w:space="0" w:color="auto"/>
      </w:divBdr>
    </w:div>
    <w:div w:id="1263565485">
      <w:bodyDiv w:val="1"/>
      <w:marLeft w:val="0"/>
      <w:marRight w:val="0"/>
      <w:marTop w:val="0"/>
      <w:marBottom w:val="0"/>
      <w:divBdr>
        <w:top w:val="none" w:sz="0" w:space="0" w:color="auto"/>
        <w:left w:val="none" w:sz="0" w:space="0" w:color="auto"/>
        <w:bottom w:val="none" w:sz="0" w:space="0" w:color="auto"/>
        <w:right w:val="none" w:sz="0" w:space="0" w:color="auto"/>
      </w:divBdr>
    </w:div>
    <w:div w:id="1263760291">
      <w:bodyDiv w:val="1"/>
      <w:marLeft w:val="0"/>
      <w:marRight w:val="0"/>
      <w:marTop w:val="0"/>
      <w:marBottom w:val="0"/>
      <w:divBdr>
        <w:top w:val="none" w:sz="0" w:space="0" w:color="auto"/>
        <w:left w:val="none" w:sz="0" w:space="0" w:color="auto"/>
        <w:bottom w:val="none" w:sz="0" w:space="0" w:color="auto"/>
        <w:right w:val="none" w:sz="0" w:space="0" w:color="auto"/>
      </w:divBdr>
    </w:div>
    <w:div w:id="1273367824">
      <w:bodyDiv w:val="1"/>
      <w:marLeft w:val="0"/>
      <w:marRight w:val="0"/>
      <w:marTop w:val="0"/>
      <w:marBottom w:val="0"/>
      <w:divBdr>
        <w:top w:val="none" w:sz="0" w:space="0" w:color="auto"/>
        <w:left w:val="none" w:sz="0" w:space="0" w:color="auto"/>
        <w:bottom w:val="none" w:sz="0" w:space="0" w:color="auto"/>
        <w:right w:val="none" w:sz="0" w:space="0" w:color="auto"/>
      </w:divBdr>
    </w:div>
    <w:div w:id="1274439245">
      <w:bodyDiv w:val="1"/>
      <w:marLeft w:val="0"/>
      <w:marRight w:val="0"/>
      <w:marTop w:val="0"/>
      <w:marBottom w:val="0"/>
      <w:divBdr>
        <w:top w:val="none" w:sz="0" w:space="0" w:color="auto"/>
        <w:left w:val="none" w:sz="0" w:space="0" w:color="auto"/>
        <w:bottom w:val="none" w:sz="0" w:space="0" w:color="auto"/>
        <w:right w:val="none" w:sz="0" w:space="0" w:color="auto"/>
      </w:divBdr>
    </w:div>
    <w:div w:id="1277373983">
      <w:bodyDiv w:val="1"/>
      <w:marLeft w:val="0"/>
      <w:marRight w:val="0"/>
      <w:marTop w:val="0"/>
      <w:marBottom w:val="0"/>
      <w:divBdr>
        <w:top w:val="none" w:sz="0" w:space="0" w:color="auto"/>
        <w:left w:val="none" w:sz="0" w:space="0" w:color="auto"/>
        <w:bottom w:val="none" w:sz="0" w:space="0" w:color="auto"/>
        <w:right w:val="none" w:sz="0" w:space="0" w:color="auto"/>
      </w:divBdr>
      <w:divsChild>
        <w:div w:id="1997413607">
          <w:marLeft w:val="0"/>
          <w:marRight w:val="0"/>
          <w:marTop w:val="0"/>
          <w:marBottom w:val="0"/>
          <w:divBdr>
            <w:top w:val="none" w:sz="0" w:space="0" w:color="auto"/>
            <w:left w:val="none" w:sz="0" w:space="0" w:color="auto"/>
            <w:bottom w:val="none" w:sz="0" w:space="0" w:color="auto"/>
            <w:right w:val="none" w:sz="0" w:space="0" w:color="auto"/>
          </w:divBdr>
          <w:divsChild>
            <w:div w:id="1074934620">
              <w:marLeft w:val="0"/>
              <w:marRight w:val="0"/>
              <w:marTop w:val="0"/>
              <w:marBottom w:val="0"/>
              <w:divBdr>
                <w:top w:val="none" w:sz="0" w:space="0" w:color="auto"/>
                <w:left w:val="none" w:sz="0" w:space="0" w:color="auto"/>
                <w:bottom w:val="none" w:sz="0" w:space="0" w:color="auto"/>
                <w:right w:val="none" w:sz="0" w:space="0" w:color="auto"/>
              </w:divBdr>
              <w:divsChild>
                <w:div w:id="92482598">
                  <w:marLeft w:val="0"/>
                  <w:marRight w:val="0"/>
                  <w:marTop w:val="0"/>
                  <w:marBottom w:val="0"/>
                  <w:divBdr>
                    <w:top w:val="none" w:sz="0" w:space="0" w:color="auto"/>
                    <w:left w:val="none" w:sz="0" w:space="0" w:color="auto"/>
                    <w:bottom w:val="none" w:sz="0" w:space="0" w:color="auto"/>
                    <w:right w:val="none" w:sz="0" w:space="0" w:color="auto"/>
                  </w:divBdr>
                  <w:divsChild>
                    <w:div w:id="536352479">
                      <w:marLeft w:val="0"/>
                      <w:marRight w:val="0"/>
                      <w:marTop w:val="0"/>
                      <w:marBottom w:val="0"/>
                      <w:divBdr>
                        <w:top w:val="none" w:sz="0" w:space="0" w:color="auto"/>
                        <w:left w:val="none" w:sz="0" w:space="0" w:color="auto"/>
                        <w:bottom w:val="none" w:sz="0" w:space="0" w:color="auto"/>
                        <w:right w:val="none" w:sz="0" w:space="0" w:color="auto"/>
                      </w:divBdr>
                      <w:divsChild>
                        <w:div w:id="1561407749">
                          <w:marLeft w:val="405"/>
                          <w:marRight w:val="0"/>
                          <w:marTop w:val="0"/>
                          <w:marBottom w:val="0"/>
                          <w:divBdr>
                            <w:top w:val="none" w:sz="0" w:space="0" w:color="auto"/>
                            <w:left w:val="none" w:sz="0" w:space="0" w:color="auto"/>
                            <w:bottom w:val="none" w:sz="0" w:space="0" w:color="auto"/>
                            <w:right w:val="none" w:sz="0" w:space="0" w:color="auto"/>
                          </w:divBdr>
                          <w:divsChild>
                            <w:div w:id="2135324649">
                              <w:marLeft w:val="0"/>
                              <w:marRight w:val="0"/>
                              <w:marTop w:val="0"/>
                              <w:marBottom w:val="0"/>
                              <w:divBdr>
                                <w:top w:val="none" w:sz="0" w:space="0" w:color="auto"/>
                                <w:left w:val="none" w:sz="0" w:space="0" w:color="auto"/>
                                <w:bottom w:val="none" w:sz="0" w:space="0" w:color="auto"/>
                                <w:right w:val="none" w:sz="0" w:space="0" w:color="auto"/>
                              </w:divBdr>
                              <w:divsChild>
                                <w:div w:id="825977019">
                                  <w:marLeft w:val="0"/>
                                  <w:marRight w:val="0"/>
                                  <w:marTop w:val="0"/>
                                  <w:marBottom w:val="0"/>
                                  <w:divBdr>
                                    <w:top w:val="none" w:sz="0" w:space="0" w:color="auto"/>
                                    <w:left w:val="none" w:sz="0" w:space="0" w:color="auto"/>
                                    <w:bottom w:val="none" w:sz="0" w:space="0" w:color="auto"/>
                                    <w:right w:val="none" w:sz="0" w:space="0" w:color="auto"/>
                                  </w:divBdr>
                                  <w:divsChild>
                                    <w:div w:id="1490172827">
                                      <w:marLeft w:val="0"/>
                                      <w:marRight w:val="0"/>
                                      <w:marTop w:val="60"/>
                                      <w:marBottom w:val="0"/>
                                      <w:divBdr>
                                        <w:top w:val="none" w:sz="0" w:space="0" w:color="auto"/>
                                        <w:left w:val="none" w:sz="0" w:space="0" w:color="auto"/>
                                        <w:bottom w:val="none" w:sz="0" w:space="0" w:color="auto"/>
                                        <w:right w:val="none" w:sz="0" w:space="0" w:color="auto"/>
                                      </w:divBdr>
                                      <w:divsChild>
                                        <w:div w:id="598417272">
                                          <w:marLeft w:val="0"/>
                                          <w:marRight w:val="0"/>
                                          <w:marTop w:val="0"/>
                                          <w:marBottom w:val="0"/>
                                          <w:divBdr>
                                            <w:top w:val="none" w:sz="0" w:space="0" w:color="auto"/>
                                            <w:left w:val="none" w:sz="0" w:space="0" w:color="auto"/>
                                            <w:bottom w:val="none" w:sz="0" w:space="0" w:color="auto"/>
                                            <w:right w:val="none" w:sz="0" w:space="0" w:color="auto"/>
                                          </w:divBdr>
                                          <w:divsChild>
                                            <w:div w:id="2039578027">
                                              <w:marLeft w:val="0"/>
                                              <w:marRight w:val="0"/>
                                              <w:marTop w:val="0"/>
                                              <w:marBottom w:val="0"/>
                                              <w:divBdr>
                                                <w:top w:val="none" w:sz="0" w:space="0" w:color="auto"/>
                                                <w:left w:val="none" w:sz="0" w:space="0" w:color="auto"/>
                                                <w:bottom w:val="none" w:sz="0" w:space="0" w:color="auto"/>
                                                <w:right w:val="none" w:sz="0" w:space="0" w:color="auto"/>
                                              </w:divBdr>
                                              <w:divsChild>
                                                <w:div w:id="741873699">
                                                  <w:marLeft w:val="0"/>
                                                  <w:marRight w:val="0"/>
                                                  <w:marTop w:val="0"/>
                                                  <w:marBottom w:val="0"/>
                                                  <w:divBdr>
                                                    <w:top w:val="none" w:sz="0" w:space="0" w:color="auto"/>
                                                    <w:left w:val="none" w:sz="0" w:space="0" w:color="auto"/>
                                                    <w:bottom w:val="none" w:sz="0" w:space="0" w:color="auto"/>
                                                    <w:right w:val="none" w:sz="0" w:space="0" w:color="auto"/>
                                                  </w:divBdr>
                                                  <w:divsChild>
                                                    <w:div w:id="825970424">
                                                      <w:marLeft w:val="0"/>
                                                      <w:marRight w:val="0"/>
                                                      <w:marTop w:val="0"/>
                                                      <w:marBottom w:val="0"/>
                                                      <w:divBdr>
                                                        <w:top w:val="none" w:sz="0" w:space="0" w:color="auto"/>
                                                        <w:left w:val="none" w:sz="0" w:space="0" w:color="auto"/>
                                                        <w:bottom w:val="none" w:sz="0" w:space="0" w:color="auto"/>
                                                        <w:right w:val="none" w:sz="0" w:space="0" w:color="auto"/>
                                                      </w:divBdr>
                                                      <w:divsChild>
                                                        <w:div w:id="582180024">
                                                          <w:marLeft w:val="0"/>
                                                          <w:marRight w:val="0"/>
                                                          <w:marTop w:val="0"/>
                                                          <w:marBottom w:val="0"/>
                                                          <w:divBdr>
                                                            <w:top w:val="none" w:sz="0" w:space="0" w:color="auto"/>
                                                            <w:left w:val="none" w:sz="0" w:space="0" w:color="auto"/>
                                                            <w:bottom w:val="none" w:sz="0" w:space="0" w:color="auto"/>
                                                            <w:right w:val="none" w:sz="0" w:space="0" w:color="auto"/>
                                                          </w:divBdr>
                                                          <w:divsChild>
                                                            <w:div w:id="398553243">
                                                              <w:marLeft w:val="0"/>
                                                              <w:marRight w:val="0"/>
                                                              <w:marTop w:val="0"/>
                                                              <w:marBottom w:val="0"/>
                                                              <w:divBdr>
                                                                <w:top w:val="none" w:sz="0" w:space="0" w:color="auto"/>
                                                                <w:left w:val="none" w:sz="0" w:space="0" w:color="auto"/>
                                                                <w:bottom w:val="none" w:sz="0" w:space="0" w:color="auto"/>
                                                                <w:right w:val="none" w:sz="0" w:space="0" w:color="auto"/>
                                                              </w:divBdr>
                                                              <w:divsChild>
                                                                <w:div w:id="1926528860">
                                                                  <w:marLeft w:val="0"/>
                                                                  <w:marRight w:val="0"/>
                                                                  <w:marTop w:val="0"/>
                                                                  <w:marBottom w:val="0"/>
                                                                  <w:divBdr>
                                                                    <w:top w:val="none" w:sz="0" w:space="0" w:color="auto"/>
                                                                    <w:left w:val="none" w:sz="0" w:space="0" w:color="auto"/>
                                                                    <w:bottom w:val="none" w:sz="0" w:space="0" w:color="auto"/>
                                                                    <w:right w:val="none" w:sz="0" w:space="0" w:color="auto"/>
                                                                  </w:divBdr>
                                                                  <w:divsChild>
                                                                    <w:div w:id="17169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7565819">
      <w:bodyDiv w:val="1"/>
      <w:marLeft w:val="0"/>
      <w:marRight w:val="0"/>
      <w:marTop w:val="0"/>
      <w:marBottom w:val="0"/>
      <w:divBdr>
        <w:top w:val="none" w:sz="0" w:space="0" w:color="auto"/>
        <w:left w:val="none" w:sz="0" w:space="0" w:color="auto"/>
        <w:bottom w:val="none" w:sz="0" w:space="0" w:color="auto"/>
        <w:right w:val="none" w:sz="0" w:space="0" w:color="auto"/>
      </w:divBdr>
    </w:div>
    <w:div w:id="1282108545">
      <w:bodyDiv w:val="1"/>
      <w:marLeft w:val="0"/>
      <w:marRight w:val="0"/>
      <w:marTop w:val="0"/>
      <w:marBottom w:val="0"/>
      <w:divBdr>
        <w:top w:val="none" w:sz="0" w:space="0" w:color="auto"/>
        <w:left w:val="none" w:sz="0" w:space="0" w:color="auto"/>
        <w:bottom w:val="none" w:sz="0" w:space="0" w:color="auto"/>
        <w:right w:val="none" w:sz="0" w:space="0" w:color="auto"/>
      </w:divBdr>
    </w:div>
    <w:div w:id="1289120756">
      <w:bodyDiv w:val="1"/>
      <w:marLeft w:val="0"/>
      <w:marRight w:val="0"/>
      <w:marTop w:val="0"/>
      <w:marBottom w:val="0"/>
      <w:divBdr>
        <w:top w:val="none" w:sz="0" w:space="0" w:color="auto"/>
        <w:left w:val="none" w:sz="0" w:space="0" w:color="auto"/>
        <w:bottom w:val="none" w:sz="0" w:space="0" w:color="auto"/>
        <w:right w:val="none" w:sz="0" w:space="0" w:color="auto"/>
      </w:divBdr>
    </w:div>
    <w:div w:id="1298293861">
      <w:bodyDiv w:val="1"/>
      <w:marLeft w:val="0"/>
      <w:marRight w:val="0"/>
      <w:marTop w:val="0"/>
      <w:marBottom w:val="0"/>
      <w:divBdr>
        <w:top w:val="none" w:sz="0" w:space="0" w:color="auto"/>
        <w:left w:val="none" w:sz="0" w:space="0" w:color="auto"/>
        <w:bottom w:val="none" w:sz="0" w:space="0" w:color="auto"/>
        <w:right w:val="none" w:sz="0" w:space="0" w:color="auto"/>
      </w:divBdr>
    </w:div>
    <w:div w:id="1302882291">
      <w:bodyDiv w:val="1"/>
      <w:marLeft w:val="0"/>
      <w:marRight w:val="0"/>
      <w:marTop w:val="0"/>
      <w:marBottom w:val="0"/>
      <w:divBdr>
        <w:top w:val="none" w:sz="0" w:space="0" w:color="auto"/>
        <w:left w:val="none" w:sz="0" w:space="0" w:color="auto"/>
        <w:bottom w:val="none" w:sz="0" w:space="0" w:color="auto"/>
        <w:right w:val="none" w:sz="0" w:space="0" w:color="auto"/>
      </w:divBdr>
    </w:div>
    <w:div w:id="1305696362">
      <w:bodyDiv w:val="1"/>
      <w:marLeft w:val="0"/>
      <w:marRight w:val="0"/>
      <w:marTop w:val="0"/>
      <w:marBottom w:val="0"/>
      <w:divBdr>
        <w:top w:val="none" w:sz="0" w:space="0" w:color="auto"/>
        <w:left w:val="none" w:sz="0" w:space="0" w:color="auto"/>
        <w:bottom w:val="none" w:sz="0" w:space="0" w:color="auto"/>
        <w:right w:val="none" w:sz="0" w:space="0" w:color="auto"/>
      </w:divBdr>
    </w:div>
    <w:div w:id="1320966698">
      <w:bodyDiv w:val="1"/>
      <w:marLeft w:val="0"/>
      <w:marRight w:val="0"/>
      <w:marTop w:val="0"/>
      <w:marBottom w:val="0"/>
      <w:divBdr>
        <w:top w:val="none" w:sz="0" w:space="0" w:color="auto"/>
        <w:left w:val="none" w:sz="0" w:space="0" w:color="auto"/>
        <w:bottom w:val="none" w:sz="0" w:space="0" w:color="auto"/>
        <w:right w:val="none" w:sz="0" w:space="0" w:color="auto"/>
      </w:divBdr>
    </w:div>
    <w:div w:id="1327057581">
      <w:bodyDiv w:val="1"/>
      <w:marLeft w:val="0"/>
      <w:marRight w:val="0"/>
      <w:marTop w:val="0"/>
      <w:marBottom w:val="0"/>
      <w:divBdr>
        <w:top w:val="none" w:sz="0" w:space="0" w:color="auto"/>
        <w:left w:val="none" w:sz="0" w:space="0" w:color="auto"/>
        <w:bottom w:val="none" w:sz="0" w:space="0" w:color="auto"/>
        <w:right w:val="none" w:sz="0" w:space="0" w:color="auto"/>
      </w:divBdr>
    </w:div>
    <w:div w:id="1332487423">
      <w:bodyDiv w:val="1"/>
      <w:marLeft w:val="0"/>
      <w:marRight w:val="0"/>
      <w:marTop w:val="0"/>
      <w:marBottom w:val="0"/>
      <w:divBdr>
        <w:top w:val="none" w:sz="0" w:space="0" w:color="auto"/>
        <w:left w:val="none" w:sz="0" w:space="0" w:color="auto"/>
        <w:bottom w:val="none" w:sz="0" w:space="0" w:color="auto"/>
        <w:right w:val="none" w:sz="0" w:space="0" w:color="auto"/>
      </w:divBdr>
    </w:div>
    <w:div w:id="1335186723">
      <w:bodyDiv w:val="1"/>
      <w:marLeft w:val="0"/>
      <w:marRight w:val="0"/>
      <w:marTop w:val="0"/>
      <w:marBottom w:val="0"/>
      <w:divBdr>
        <w:top w:val="none" w:sz="0" w:space="0" w:color="auto"/>
        <w:left w:val="none" w:sz="0" w:space="0" w:color="auto"/>
        <w:bottom w:val="none" w:sz="0" w:space="0" w:color="auto"/>
        <w:right w:val="none" w:sz="0" w:space="0" w:color="auto"/>
      </w:divBdr>
    </w:div>
    <w:div w:id="1339576773">
      <w:bodyDiv w:val="1"/>
      <w:marLeft w:val="0"/>
      <w:marRight w:val="0"/>
      <w:marTop w:val="0"/>
      <w:marBottom w:val="0"/>
      <w:divBdr>
        <w:top w:val="none" w:sz="0" w:space="0" w:color="auto"/>
        <w:left w:val="none" w:sz="0" w:space="0" w:color="auto"/>
        <w:bottom w:val="none" w:sz="0" w:space="0" w:color="auto"/>
        <w:right w:val="none" w:sz="0" w:space="0" w:color="auto"/>
      </w:divBdr>
    </w:div>
    <w:div w:id="1341083710">
      <w:bodyDiv w:val="1"/>
      <w:marLeft w:val="0"/>
      <w:marRight w:val="0"/>
      <w:marTop w:val="0"/>
      <w:marBottom w:val="0"/>
      <w:divBdr>
        <w:top w:val="none" w:sz="0" w:space="0" w:color="auto"/>
        <w:left w:val="none" w:sz="0" w:space="0" w:color="auto"/>
        <w:bottom w:val="none" w:sz="0" w:space="0" w:color="auto"/>
        <w:right w:val="none" w:sz="0" w:space="0" w:color="auto"/>
      </w:divBdr>
    </w:div>
    <w:div w:id="1344549081">
      <w:bodyDiv w:val="1"/>
      <w:marLeft w:val="0"/>
      <w:marRight w:val="0"/>
      <w:marTop w:val="0"/>
      <w:marBottom w:val="0"/>
      <w:divBdr>
        <w:top w:val="none" w:sz="0" w:space="0" w:color="auto"/>
        <w:left w:val="none" w:sz="0" w:space="0" w:color="auto"/>
        <w:bottom w:val="none" w:sz="0" w:space="0" w:color="auto"/>
        <w:right w:val="none" w:sz="0" w:space="0" w:color="auto"/>
      </w:divBdr>
    </w:div>
    <w:div w:id="1352487478">
      <w:bodyDiv w:val="1"/>
      <w:marLeft w:val="0"/>
      <w:marRight w:val="0"/>
      <w:marTop w:val="0"/>
      <w:marBottom w:val="0"/>
      <w:divBdr>
        <w:top w:val="none" w:sz="0" w:space="0" w:color="auto"/>
        <w:left w:val="none" w:sz="0" w:space="0" w:color="auto"/>
        <w:bottom w:val="none" w:sz="0" w:space="0" w:color="auto"/>
        <w:right w:val="none" w:sz="0" w:space="0" w:color="auto"/>
      </w:divBdr>
    </w:div>
    <w:div w:id="1354570933">
      <w:bodyDiv w:val="1"/>
      <w:marLeft w:val="0"/>
      <w:marRight w:val="0"/>
      <w:marTop w:val="0"/>
      <w:marBottom w:val="0"/>
      <w:divBdr>
        <w:top w:val="none" w:sz="0" w:space="0" w:color="auto"/>
        <w:left w:val="none" w:sz="0" w:space="0" w:color="auto"/>
        <w:bottom w:val="none" w:sz="0" w:space="0" w:color="auto"/>
        <w:right w:val="none" w:sz="0" w:space="0" w:color="auto"/>
      </w:divBdr>
    </w:div>
    <w:div w:id="1360205071">
      <w:bodyDiv w:val="1"/>
      <w:marLeft w:val="0"/>
      <w:marRight w:val="0"/>
      <w:marTop w:val="0"/>
      <w:marBottom w:val="0"/>
      <w:divBdr>
        <w:top w:val="none" w:sz="0" w:space="0" w:color="auto"/>
        <w:left w:val="none" w:sz="0" w:space="0" w:color="auto"/>
        <w:bottom w:val="none" w:sz="0" w:space="0" w:color="auto"/>
        <w:right w:val="none" w:sz="0" w:space="0" w:color="auto"/>
      </w:divBdr>
    </w:div>
    <w:div w:id="1374161451">
      <w:bodyDiv w:val="1"/>
      <w:marLeft w:val="0"/>
      <w:marRight w:val="0"/>
      <w:marTop w:val="0"/>
      <w:marBottom w:val="0"/>
      <w:divBdr>
        <w:top w:val="none" w:sz="0" w:space="0" w:color="auto"/>
        <w:left w:val="none" w:sz="0" w:space="0" w:color="auto"/>
        <w:bottom w:val="none" w:sz="0" w:space="0" w:color="auto"/>
        <w:right w:val="none" w:sz="0" w:space="0" w:color="auto"/>
      </w:divBdr>
      <w:divsChild>
        <w:div w:id="1370450049">
          <w:marLeft w:val="0"/>
          <w:marRight w:val="0"/>
          <w:marTop w:val="0"/>
          <w:marBottom w:val="0"/>
          <w:divBdr>
            <w:top w:val="none" w:sz="0" w:space="0" w:color="auto"/>
            <w:left w:val="none" w:sz="0" w:space="0" w:color="auto"/>
            <w:bottom w:val="none" w:sz="0" w:space="0" w:color="auto"/>
            <w:right w:val="none" w:sz="0" w:space="0" w:color="auto"/>
          </w:divBdr>
          <w:divsChild>
            <w:div w:id="1293747669">
              <w:marLeft w:val="0"/>
              <w:marRight w:val="0"/>
              <w:marTop w:val="0"/>
              <w:marBottom w:val="0"/>
              <w:divBdr>
                <w:top w:val="none" w:sz="0" w:space="0" w:color="auto"/>
                <w:left w:val="none" w:sz="0" w:space="0" w:color="auto"/>
                <w:bottom w:val="none" w:sz="0" w:space="0" w:color="auto"/>
                <w:right w:val="none" w:sz="0" w:space="0" w:color="auto"/>
              </w:divBdr>
              <w:divsChild>
                <w:div w:id="1027757474">
                  <w:marLeft w:val="0"/>
                  <w:marRight w:val="0"/>
                  <w:marTop w:val="0"/>
                  <w:marBottom w:val="0"/>
                  <w:divBdr>
                    <w:top w:val="none" w:sz="0" w:space="0" w:color="auto"/>
                    <w:left w:val="none" w:sz="0" w:space="0" w:color="auto"/>
                    <w:bottom w:val="none" w:sz="0" w:space="0" w:color="auto"/>
                    <w:right w:val="none" w:sz="0" w:space="0" w:color="auto"/>
                  </w:divBdr>
                  <w:divsChild>
                    <w:div w:id="19343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48782">
      <w:bodyDiv w:val="1"/>
      <w:marLeft w:val="0"/>
      <w:marRight w:val="0"/>
      <w:marTop w:val="0"/>
      <w:marBottom w:val="0"/>
      <w:divBdr>
        <w:top w:val="none" w:sz="0" w:space="0" w:color="auto"/>
        <w:left w:val="none" w:sz="0" w:space="0" w:color="auto"/>
        <w:bottom w:val="none" w:sz="0" w:space="0" w:color="auto"/>
        <w:right w:val="none" w:sz="0" w:space="0" w:color="auto"/>
      </w:divBdr>
    </w:div>
    <w:div w:id="1377505188">
      <w:bodyDiv w:val="1"/>
      <w:marLeft w:val="0"/>
      <w:marRight w:val="0"/>
      <w:marTop w:val="0"/>
      <w:marBottom w:val="0"/>
      <w:divBdr>
        <w:top w:val="none" w:sz="0" w:space="0" w:color="auto"/>
        <w:left w:val="none" w:sz="0" w:space="0" w:color="auto"/>
        <w:bottom w:val="none" w:sz="0" w:space="0" w:color="auto"/>
        <w:right w:val="none" w:sz="0" w:space="0" w:color="auto"/>
      </w:divBdr>
    </w:div>
    <w:div w:id="1392315488">
      <w:bodyDiv w:val="1"/>
      <w:marLeft w:val="0"/>
      <w:marRight w:val="0"/>
      <w:marTop w:val="0"/>
      <w:marBottom w:val="0"/>
      <w:divBdr>
        <w:top w:val="none" w:sz="0" w:space="0" w:color="auto"/>
        <w:left w:val="none" w:sz="0" w:space="0" w:color="auto"/>
        <w:bottom w:val="none" w:sz="0" w:space="0" w:color="auto"/>
        <w:right w:val="none" w:sz="0" w:space="0" w:color="auto"/>
      </w:divBdr>
    </w:div>
    <w:div w:id="1395009987">
      <w:bodyDiv w:val="1"/>
      <w:marLeft w:val="0"/>
      <w:marRight w:val="0"/>
      <w:marTop w:val="0"/>
      <w:marBottom w:val="0"/>
      <w:divBdr>
        <w:top w:val="none" w:sz="0" w:space="0" w:color="auto"/>
        <w:left w:val="none" w:sz="0" w:space="0" w:color="auto"/>
        <w:bottom w:val="none" w:sz="0" w:space="0" w:color="auto"/>
        <w:right w:val="none" w:sz="0" w:space="0" w:color="auto"/>
      </w:divBdr>
    </w:div>
    <w:div w:id="1396856960">
      <w:bodyDiv w:val="1"/>
      <w:marLeft w:val="0"/>
      <w:marRight w:val="0"/>
      <w:marTop w:val="0"/>
      <w:marBottom w:val="0"/>
      <w:divBdr>
        <w:top w:val="none" w:sz="0" w:space="0" w:color="auto"/>
        <w:left w:val="none" w:sz="0" w:space="0" w:color="auto"/>
        <w:bottom w:val="none" w:sz="0" w:space="0" w:color="auto"/>
        <w:right w:val="none" w:sz="0" w:space="0" w:color="auto"/>
      </w:divBdr>
    </w:div>
    <w:div w:id="1412652686">
      <w:bodyDiv w:val="1"/>
      <w:marLeft w:val="0"/>
      <w:marRight w:val="0"/>
      <w:marTop w:val="0"/>
      <w:marBottom w:val="0"/>
      <w:divBdr>
        <w:top w:val="none" w:sz="0" w:space="0" w:color="auto"/>
        <w:left w:val="none" w:sz="0" w:space="0" w:color="auto"/>
        <w:bottom w:val="none" w:sz="0" w:space="0" w:color="auto"/>
        <w:right w:val="none" w:sz="0" w:space="0" w:color="auto"/>
      </w:divBdr>
    </w:div>
    <w:div w:id="1416589209">
      <w:bodyDiv w:val="1"/>
      <w:marLeft w:val="0"/>
      <w:marRight w:val="0"/>
      <w:marTop w:val="0"/>
      <w:marBottom w:val="0"/>
      <w:divBdr>
        <w:top w:val="none" w:sz="0" w:space="0" w:color="auto"/>
        <w:left w:val="none" w:sz="0" w:space="0" w:color="auto"/>
        <w:bottom w:val="none" w:sz="0" w:space="0" w:color="auto"/>
        <w:right w:val="none" w:sz="0" w:space="0" w:color="auto"/>
      </w:divBdr>
    </w:div>
    <w:div w:id="1422489244">
      <w:bodyDiv w:val="1"/>
      <w:marLeft w:val="0"/>
      <w:marRight w:val="0"/>
      <w:marTop w:val="0"/>
      <w:marBottom w:val="0"/>
      <w:divBdr>
        <w:top w:val="none" w:sz="0" w:space="0" w:color="auto"/>
        <w:left w:val="none" w:sz="0" w:space="0" w:color="auto"/>
        <w:bottom w:val="none" w:sz="0" w:space="0" w:color="auto"/>
        <w:right w:val="none" w:sz="0" w:space="0" w:color="auto"/>
      </w:divBdr>
    </w:div>
    <w:div w:id="1422529890">
      <w:bodyDiv w:val="1"/>
      <w:marLeft w:val="0"/>
      <w:marRight w:val="0"/>
      <w:marTop w:val="0"/>
      <w:marBottom w:val="0"/>
      <w:divBdr>
        <w:top w:val="none" w:sz="0" w:space="0" w:color="auto"/>
        <w:left w:val="none" w:sz="0" w:space="0" w:color="auto"/>
        <w:bottom w:val="none" w:sz="0" w:space="0" w:color="auto"/>
        <w:right w:val="none" w:sz="0" w:space="0" w:color="auto"/>
      </w:divBdr>
    </w:div>
    <w:div w:id="1425299500">
      <w:bodyDiv w:val="1"/>
      <w:marLeft w:val="0"/>
      <w:marRight w:val="0"/>
      <w:marTop w:val="0"/>
      <w:marBottom w:val="0"/>
      <w:divBdr>
        <w:top w:val="none" w:sz="0" w:space="0" w:color="auto"/>
        <w:left w:val="none" w:sz="0" w:space="0" w:color="auto"/>
        <w:bottom w:val="none" w:sz="0" w:space="0" w:color="auto"/>
        <w:right w:val="none" w:sz="0" w:space="0" w:color="auto"/>
      </w:divBdr>
    </w:div>
    <w:div w:id="1432236994">
      <w:bodyDiv w:val="1"/>
      <w:marLeft w:val="0"/>
      <w:marRight w:val="0"/>
      <w:marTop w:val="0"/>
      <w:marBottom w:val="0"/>
      <w:divBdr>
        <w:top w:val="none" w:sz="0" w:space="0" w:color="auto"/>
        <w:left w:val="none" w:sz="0" w:space="0" w:color="auto"/>
        <w:bottom w:val="none" w:sz="0" w:space="0" w:color="auto"/>
        <w:right w:val="none" w:sz="0" w:space="0" w:color="auto"/>
      </w:divBdr>
    </w:div>
    <w:div w:id="1437484883">
      <w:bodyDiv w:val="1"/>
      <w:marLeft w:val="0"/>
      <w:marRight w:val="0"/>
      <w:marTop w:val="0"/>
      <w:marBottom w:val="0"/>
      <w:divBdr>
        <w:top w:val="none" w:sz="0" w:space="0" w:color="auto"/>
        <w:left w:val="none" w:sz="0" w:space="0" w:color="auto"/>
        <w:bottom w:val="none" w:sz="0" w:space="0" w:color="auto"/>
        <w:right w:val="none" w:sz="0" w:space="0" w:color="auto"/>
      </w:divBdr>
    </w:div>
    <w:div w:id="1449853437">
      <w:bodyDiv w:val="1"/>
      <w:marLeft w:val="0"/>
      <w:marRight w:val="0"/>
      <w:marTop w:val="0"/>
      <w:marBottom w:val="0"/>
      <w:divBdr>
        <w:top w:val="none" w:sz="0" w:space="0" w:color="auto"/>
        <w:left w:val="none" w:sz="0" w:space="0" w:color="auto"/>
        <w:bottom w:val="none" w:sz="0" w:space="0" w:color="auto"/>
        <w:right w:val="none" w:sz="0" w:space="0" w:color="auto"/>
      </w:divBdr>
    </w:div>
    <w:div w:id="1450662911">
      <w:bodyDiv w:val="1"/>
      <w:marLeft w:val="0"/>
      <w:marRight w:val="0"/>
      <w:marTop w:val="0"/>
      <w:marBottom w:val="0"/>
      <w:divBdr>
        <w:top w:val="none" w:sz="0" w:space="0" w:color="auto"/>
        <w:left w:val="none" w:sz="0" w:space="0" w:color="auto"/>
        <w:bottom w:val="none" w:sz="0" w:space="0" w:color="auto"/>
        <w:right w:val="none" w:sz="0" w:space="0" w:color="auto"/>
      </w:divBdr>
    </w:div>
    <w:div w:id="1451129169">
      <w:bodyDiv w:val="1"/>
      <w:marLeft w:val="0"/>
      <w:marRight w:val="0"/>
      <w:marTop w:val="0"/>
      <w:marBottom w:val="0"/>
      <w:divBdr>
        <w:top w:val="none" w:sz="0" w:space="0" w:color="auto"/>
        <w:left w:val="none" w:sz="0" w:space="0" w:color="auto"/>
        <w:bottom w:val="none" w:sz="0" w:space="0" w:color="auto"/>
        <w:right w:val="none" w:sz="0" w:space="0" w:color="auto"/>
      </w:divBdr>
    </w:div>
    <w:div w:id="1453091474">
      <w:bodyDiv w:val="1"/>
      <w:marLeft w:val="0"/>
      <w:marRight w:val="0"/>
      <w:marTop w:val="0"/>
      <w:marBottom w:val="0"/>
      <w:divBdr>
        <w:top w:val="none" w:sz="0" w:space="0" w:color="auto"/>
        <w:left w:val="none" w:sz="0" w:space="0" w:color="auto"/>
        <w:bottom w:val="none" w:sz="0" w:space="0" w:color="auto"/>
        <w:right w:val="none" w:sz="0" w:space="0" w:color="auto"/>
      </w:divBdr>
    </w:div>
    <w:div w:id="1458256326">
      <w:bodyDiv w:val="1"/>
      <w:marLeft w:val="0"/>
      <w:marRight w:val="0"/>
      <w:marTop w:val="0"/>
      <w:marBottom w:val="0"/>
      <w:divBdr>
        <w:top w:val="none" w:sz="0" w:space="0" w:color="auto"/>
        <w:left w:val="none" w:sz="0" w:space="0" w:color="auto"/>
        <w:bottom w:val="none" w:sz="0" w:space="0" w:color="auto"/>
        <w:right w:val="none" w:sz="0" w:space="0" w:color="auto"/>
      </w:divBdr>
    </w:div>
    <w:div w:id="1459371636">
      <w:bodyDiv w:val="1"/>
      <w:marLeft w:val="0"/>
      <w:marRight w:val="0"/>
      <w:marTop w:val="0"/>
      <w:marBottom w:val="0"/>
      <w:divBdr>
        <w:top w:val="none" w:sz="0" w:space="0" w:color="auto"/>
        <w:left w:val="none" w:sz="0" w:space="0" w:color="auto"/>
        <w:bottom w:val="none" w:sz="0" w:space="0" w:color="auto"/>
        <w:right w:val="none" w:sz="0" w:space="0" w:color="auto"/>
      </w:divBdr>
    </w:div>
    <w:div w:id="1459760076">
      <w:bodyDiv w:val="1"/>
      <w:marLeft w:val="0"/>
      <w:marRight w:val="0"/>
      <w:marTop w:val="0"/>
      <w:marBottom w:val="0"/>
      <w:divBdr>
        <w:top w:val="none" w:sz="0" w:space="0" w:color="auto"/>
        <w:left w:val="none" w:sz="0" w:space="0" w:color="auto"/>
        <w:bottom w:val="none" w:sz="0" w:space="0" w:color="auto"/>
        <w:right w:val="none" w:sz="0" w:space="0" w:color="auto"/>
      </w:divBdr>
    </w:div>
    <w:div w:id="1463303302">
      <w:bodyDiv w:val="1"/>
      <w:marLeft w:val="0"/>
      <w:marRight w:val="0"/>
      <w:marTop w:val="0"/>
      <w:marBottom w:val="0"/>
      <w:divBdr>
        <w:top w:val="none" w:sz="0" w:space="0" w:color="auto"/>
        <w:left w:val="none" w:sz="0" w:space="0" w:color="auto"/>
        <w:bottom w:val="none" w:sz="0" w:space="0" w:color="auto"/>
        <w:right w:val="none" w:sz="0" w:space="0" w:color="auto"/>
      </w:divBdr>
    </w:div>
    <w:div w:id="1470706583">
      <w:bodyDiv w:val="1"/>
      <w:marLeft w:val="0"/>
      <w:marRight w:val="0"/>
      <w:marTop w:val="0"/>
      <w:marBottom w:val="0"/>
      <w:divBdr>
        <w:top w:val="none" w:sz="0" w:space="0" w:color="auto"/>
        <w:left w:val="none" w:sz="0" w:space="0" w:color="auto"/>
        <w:bottom w:val="none" w:sz="0" w:space="0" w:color="auto"/>
        <w:right w:val="none" w:sz="0" w:space="0" w:color="auto"/>
      </w:divBdr>
    </w:div>
    <w:div w:id="1471094450">
      <w:bodyDiv w:val="1"/>
      <w:marLeft w:val="0"/>
      <w:marRight w:val="0"/>
      <w:marTop w:val="0"/>
      <w:marBottom w:val="0"/>
      <w:divBdr>
        <w:top w:val="none" w:sz="0" w:space="0" w:color="auto"/>
        <w:left w:val="none" w:sz="0" w:space="0" w:color="auto"/>
        <w:bottom w:val="none" w:sz="0" w:space="0" w:color="auto"/>
        <w:right w:val="none" w:sz="0" w:space="0" w:color="auto"/>
      </w:divBdr>
    </w:div>
    <w:div w:id="1471283500">
      <w:bodyDiv w:val="1"/>
      <w:marLeft w:val="0"/>
      <w:marRight w:val="0"/>
      <w:marTop w:val="0"/>
      <w:marBottom w:val="0"/>
      <w:divBdr>
        <w:top w:val="none" w:sz="0" w:space="0" w:color="auto"/>
        <w:left w:val="none" w:sz="0" w:space="0" w:color="auto"/>
        <w:bottom w:val="none" w:sz="0" w:space="0" w:color="auto"/>
        <w:right w:val="none" w:sz="0" w:space="0" w:color="auto"/>
      </w:divBdr>
    </w:div>
    <w:div w:id="1472400210">
      <w:bodyDiv w:val="1"/>
      <w:marLeft w:val="0"/>
      <w:marRight w:val="0"/>
      <w:marTop w:val="0"/>
      <w:marBottom w:val="0"/>
      <w:divBdr>
        <w:top w:val="none" w:sz="0" w:space="0" w:color="auto"/>
        <w:left w:val="none" w:sz="0" w:space="0" w:color="auto"/>
        <w:bottom w:val="none" w:sz="0" w:space="0" w:color="auto"/>
        <w:right w:val="none" w:sz="0" w:space="0" w:color="auto"/>
      </w:divBdr>
    </w:div>
    <w:div w:id="1483279301">
      <w:bodyDiv w:val="1"/>
      <w:marLeft w:val="0"/>
      <w:marRight w:val="0"/>
      <w:marTop w:val="0"/>
      <w:marBottom w:val="0"/>
      <w:divBdr>
        <w:top w:val="none" w:sz="0" w:space="0" w:color="auto"/>
        <w:left w:val="none" w:sz="0" w:space="0" w:color="auto"/>
        <w:bottom w:val="none" w:sz="0" w:space="0" w:color="auto"/>
        <w:right w:val="none" w:sz="0" w:space="0" w:color="auto"/>
      </w:divBdr>
    </w:div>
    <w:div w:id="1486626615">
      <w:bodyDiv w:val="1"/>
      <w:marLeft w:val="0"/>
      <w:marRight w:val="0"/>
      <w:marTop w:val="0"/>
      <w:marBottom w:val="0"/>
      <w:divBdr>
        <w:top w:val="none" w:sz="0" w:space="0" w:color="auto"/>
        <w:left w:val="none" w:sz="0" w:space="0" w:color="auto"/>
        <w:bottom w:val="none" w:sz="0" w:space="0" w:color="auto"/>
        <w:right w:val="none" w:sz="0" w:space="0" w:color="auto"/>
      </w:divBdr>
    </w:div>
    <w:div w:id="1498418903">
      <w:bodyDiv w:val="1"/>
      <w:marLeft w:val="0"/>
      <w:marRight w:val="0"/>
      <w:marTop w:val="0"/>
      <w:marBottom w:val="0"/>
      <w:divBdr>
        <w:top w:val="none" w:sz="0" w:space="0" w:color="auto"/>
        <w:left w:val="none" w:sz="0" w:space="0" w:color="auto"/>
        <w:bottom w:val="none" w:sz="0" w:space="0" w:color="auto"/>
        <w:right w:val="none" w:sz="0" w:space="0" w:color="auto"/>
      </w:divBdr>
    </w:div>
    <w:div w:id="1500122953">
      <w:bodyDiv w:val="1"/>
      <w:marLeft w:val="0"/>
      <w:marRight w:val="0"/>
      <w:marTop w:val="0"/>
      <w:marBottom w:val="0"/>
      <w:divBdr>
        <w:top w:val="none" w:sz="0" w:space="0" w:color="auto"/>
        <w:left w:val="none" w:sz="0" w:space="0" w:color="auto"/>
        <w:bottom w:val="none" w:sz="0" w:space="0" w:color="auto"/>
        <w:right w:val="none" w:sz="0" w:space="0" w:color="auto"/>
      </w:divBdr>
    </w:div>
    <w:div w:id="1510678332">
      <w:bodyDiv w:val="1"/>
      <w:marLeft w:val="0"/>
      <w:marRight w:val="0"/>
      <w:marTop w:val="0"/>
      <w:marBottom w:val="0"/>
      <w:divBdr>
        <w:top w:val="none" w:sz="0" w:space="0" w:color="auto"/>
        <w:left w:val="none" w:sz="0" w:space="0" w:color="auto"/>
        <w:bottom w:val="none" w:sz="0" w:space="0" w:color="auto"/>
        <w:right w:val="none" w:sz="0" w:space="0" w:color="auto"/>
      </w:divBdr>
    </w:div>
    <w:div w:id="1512983955">
      <w:bodyDiv w:val="1"/>
      <w:marLeft w:val="0"/>
      <w:marRight w:val="0"/>
      <w:marTop w:val="0"/>
      <w:marBottom w:val="0"/>
      <w:divBdr>
        <w:top w:val="none" w:sz="0" w:space="0" w:color="auto"/>
        <w:left w:val="none" w:sz="0" w:space="0" w:color="auto"/>
        <w:bottom w:val="none" w:sz="0" w:space="0" w:color="auto"/>
        <w:right w:val="none" w:sz="0" w:space="0" w:color="auto"/>
      </w:divBdr>
    </w:div>
    <w:div w:id="1534616448">
      <w:bodyDiv w:val="1"/>
      <w:marLeft w:val="0"/>
      <w:marRight w:val="0"/>
      <w:marTop w:val="0"/>
      <w:marBottom w:val="0"/>
      <w:divBdr>
        <w:top w:val="none" w:sz="0" w:space="0" w:color="auto"/>
        <w:left w:val="none" w:sz="0" w:space="0" w:color="auto"/>
        <w:bottom w:val="none" w:sz="0" w:space="0" w:color="auto"/>
        <w:right w:val="none" w:sz="0" w:space="0" w:color="auto"/>
      </w:divBdr>
    </w:div>
    <w:div w:id="1536112869">
      <w:bodyDiv w:val="1"/>
      <w:marLeft w:val="0"/>
      <w:marRight w:val="0"/>
      <w:marTop w:val="0"/>
      <w:marBottom w:val="0"/>
      <w:divBdr>
        <w:top w:val="none" w:sz="0" w:space="0" w:color="auto"/>
        <w:left w:val="none" w:sz="0" w:space="0" w:color="auto"/>
        <w:bottom w:val="none" w:sz="0" w:space="0" w:color="auto"/>
        <w:right w:val="none" w:sz="0" w:space="0" w:color="auto"/>
      </w:divBdr>
    </w:div>
    <w:div w:id="1539509230">
      <w:bodyDiv w:val="1"/>
      <w:marLeft w:val="0"/>
      <w:marRight w:val="0"/>
      <w:marTop w:val="0"/>
      <w:marBottom w:val="0"/>
      <w:divBdr>
        <w:top w:val="none" w:sz="0" w:space="0" w:color="auto"/>
        <w:left w:val="none" w:sz="0" w:space="0" w:color="auto"/>
        <w:bottom w:val="none" w:sz="0" w:space="0" w:color="auto"/>
        <w:right w:val="none" w:sz="0" w:space="0" w:color="auto"/>
      </w:divBdr>
    </w:div>
    <w:div w:id="1550386110">
      <w:bodyDiv w:val="1"/>
      <w:marLeft w:val="0"/>
      <w:marRight w:val="0"/>
      <w:marTop w:val="0"/>
      <w:marBottom w:val="0"/>
      <w:divBdr>
        <w:top w:val="none" w:sz="0" w:space="0" w:color="auto"/>
        <w:left w:val="none" w:sz="0" w:space="0" w:color="auto"/>
        <w:bottom w:val="none" w:sz="0" w:space="0" w:color="auto"/>
        <w:right w:val="none" w:sz="0" w:space="0" w:color="auto"/>
      </w:divBdr>
    </w:div>
    <w:div w:id="1551068141">
      <w:bodyDiv w:val="1"/>
      <w:marLeft w:val="0"/>
      <w:marRight w:val="0"/>
      <w:marTop w:val="0"/>
      <w:marBottom w:val="0"/>
      <w:divBdr>
        <w:top w:val="none" w:sz="0" w:space="0" w:color="auto"/>
        <w:left w:val="none" w:sz="0" w:space="0" w:color="auto"/>
        <w:bottom w:val="none" w:sz="0" w:space="0" w:color="auto"/>
        <w:right w:val="none" w:sz="0" w:space="0" w:color="auto"/>
      </w:divBdr>
    </w:div>
    <w:div w:id="155211519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6379725">
      <w:bodyDiv w:val="1"/>
      <w:marLeft w:val="0"/>
      <w:marRight w:val="0"/>
      <w:marTop w:val="0"/>
      <w:marBottom w:val="0"/>
      <w:divBdr>
        <w:top w:val="none" w:sz="0" w:space="0" w:color="auto"/>
        <w:left w:val="none" w:sz="0" w:space="0" w:color="auto"/>
        <w:bottom w:val="none" w:sz="0" w:space="0" w:color="auto"/>
        <w:right w:val="none" w:sz="0" w:space="0" w:color="auto"/>
      </w:divBdr>
    </w:div>
    <w:div w:id="1575507870">
      <w:bodyDiv w:val="1"/>
      <w:marLeft w:val="0"/>
      <w:marRight w:val="0"/>
      <w:marTop w:val="0"/>
      <w:marBottom w:val="0"/>
      <w:divBdr>
        <w:top w:val="none" w:sz="0" w:space="0" w:color="auto"/>
        <w:left w:val="none" w:sz="0" w:space="0" w:color="auto"/>
        <w:bottom w:val="none" w:sz="0" w:space="0" w:color="auto"/>
        <w:right w:val="none" w:sz="0" w:space="0" w:color="auto"/>
      </w:divBdr>
    </w:div>
    <w:div w:id="1577276127">
      <w:bodyDiv w:val="1"/>
      <w:marLeft w:val="0"/>
      <w:marRight w:val="0"/>
      <w:marTop w:val="0"/>
      <w:marBottom w:val="0"/>
      <w:divBdr>
        <w:top w:val="none" w:sz="0" w:space="0" w:color="auto"/>
        <w:left w:val="none" w:sz="0" w:space="0" w:color="auto"/>
        <w:bottom w:val="none" w:sz="0" w:space="0" w:color="auto"/>
        <w:right w:val="none" w:sz="0" w:space="0" w:color="auto"/>
      </w:divBdr>
    </w:div>
    <w:div w:id="1582639538">
      <w:bodyDiv w:val="1"/>
      <w:marLeft w:val="0"/>
      <w:marRight w:val="0"/>
      <w:marTop w:val="0"/>
      <w:marBottom w:val="0"/>
      <w:divBdr>
        <w:top w:val="none" w:sz="0" w:space="0" w:color="auto"/>
        <w:left w:val="none" w:sz="0" w:space="0" w:color="auto"/>
        <w:bottom w:val="none" w:sz="0" w:space="0" w:color="auto"/>
        <w:right w:val="none" w:sz="0" w:space="0" w:color="auto"/>
      </w:divBdr>
      <w:divsChild>
        <w:div w:id="1249340299">
          <w:marLeft w:val="0"/>
          <w:marRight w:val="0"/>
          <w:marTop w:val="0"/>
          <w:marBottom w:val="0"/>
          <w:divBdr>
            <w:top w:val="none" w:sz="0" w:space="0" w:color="auto"/>
            <w:left w:val="none" w:sz="0" w:space="0" w:color="auto"/>
            <w:bottom w:val="none" w:sz="0" w:space="0" w:color="auto"/>
            <w:right w:val="none" w:sz="0" w:space="0" w:color="auto"/>
          </w:divBdr>
          <w:divsChild>
            <w:div w:id="554702831">
              <w:marLeft w:val="0"/>
              <w:marRight w:val="0"/>
              <w:marTop w:val="0"/>
              <w:marBottom w:val="0"/>
              <w:divBdr>
                <w:top w:val="none" w:sz="0" w:space="0" w:color="auto"/>
                <w:left w:val="none" w:sz="0" w:space="0" w:color="auto"/>
                <w:bottom w:val="none" w:sz="0" w:space="0" w:color="auto"/>
                <w:right w:val="none" w:sz="0" w:space="0" w:color="auto"/>
              </w:divBdr>
              <w:divsChild>
                <w:div w:id="1494444480">
                  <w:marLeft w:val="0"/>
                  <w:marRight w:val="0"/>
                  <w:marTop w:val="0"/>
                  <w:marBottom w:val="0"/>
                  <w:divBdr>
                    <w:top w:val="none" w:sz="0" w:space="0" w:color="auto"/>
                    <w:left w:val="none" w:sz="0" w:space="0" w:color="auto"/>
                    <w:bottom w:val="none" w:sz="0" w:space="0" w:color="auto"/>
                    <w:right w:val="none" w:sz="0" w:space="0" w:color="auto"/>
                  </w:divBdr>
                  <w:divsChild>
                    <w:div w:id="91097454">
                      <w:marLeft w:val="0"/>
                      <w:marRight w:val="0"/>
                      <w:marTop w:val="0"/>
                      <w:marBottom w:val="0"/>
                      <w:divBdr>
                        <w:top w:val="none" w:sz="0" w:space="0" w:color="auto"/>
                        <w:left w:val="none" w:sz="0" w:space="0" w:color="auto"/>
                        <w:bottom w:val="none" w:sz="0" w:space="0" w:color="auto"/>
                        <w:right w:val="none" w:sz="0" w:space="0" w:color="auto"/>
                      </w:divBdr>
                      <w:divsChild>
                        <w:div w:id="269438268">
                          <w:marLeft w:val="405"/>
                          <w:marRight w:val="0"/>
                          <w:marTop w:val="0"/>
                          <w:marBottom w:val="0"/>
                          <w:divBdr>
                            <w:top w:val="none" w:sz="0" w:space="0" w:color="auto"/>
                            <w:left w:val="none" w:sz="0" w:space="0" w:color="auto"/>
                            <w:bottom w:val="none" w:sz="0" w:space="0" w:color="auto"/>
                            <w:right w:val="none" w:sz="0" w:space="0" w:color="auto"/>
                          </w:divBdr>
                          <w:divsChild>
                            <w:div w:id="1357580779">
                              <w:marLeft w:val="0"/>
                              <w:marRight w:val="0"/>
                              <w:marTop w:val="0"/>
                              <w:marBottom w:val="0"/>
                              <w:divBdr>
                                <w:top w:val="none" w:sz="0" w:space="0" w:color="auto"/>
                                <w:left w:val="none" w:sz="0" w:space="0" w:color="auto"/>
                                <w:bottom w:val="none" w:sz="0" w:space="0" w:color="auto"/>
                                <w:right w:val="none" w:sz="0" w:space="0" w:color="auto"/>
                              </w:divBdr>
                              <w:divsChild>
                                <w:div w:id="570778653">
                                  <w:marLeft w:val="0"/>
                                  <w:marRight w:val="0"/>
                                  <w:marTop w:val="0"/>
                                  <w:marBottom w:val="0"/>
                                  <w:divBdr>
                                    <w:top w:val="none" w:sz="0" w:space="0" w:color="auto"/>
                                    <w:left w:val="none" w:sz="0" w:space="0" w:color="auto"/>
                                    <w:bottom w:val="none" w:sz="0" w:space="0" w:color="auto"/>
                                    <w:right w:val="none" w:sz="0" w:space="0" w:color="auto"/>
                                  </w:divBdr>
                                  <w:divsChild>
                                    <w:div w:id="870193832">
                                      <w:marLeft w:val="0"/>
                                      <w:marRight w:val="0"/>
                                      <w:marTop w:val="60"/>
                                      <w:marBottom w:val="0"/>
                                      <w:divBdr>
                                        <w:top w:val="none" w:sz="0" w:space="0" w:color="auto"/>
                                        <w:left w:val="none" w:sz="0" w:space="0" w:color="auto"/>
                                        <w:bottom w:val="none" w:sz="0" w:space="0" w:color="auto"/>
                                        <w:right w:val="none" w:sz="0" w:space="0" w:color="auto"/>
                                      </w:divBdr>
                                      <w:divsChild>
                                        <w:div w:id="1554653755">
                                          <w:marLeft w:val="0"/>
                                          <w:marRight w:val="0"/>
                                          <w:marTop w:val="0"/>
                                          <w:marBottom w:val="0"/>
                                          <w:divBdr>
                                            <w:top w:val="none" w:sz="0" w:space="0" w:color="auto"/>
                                            <w:left w:val="none" w:sz="0" w:space="0" w:color="auto"/>
                                            <w:bottom w:val="none" w:sz="0" w:space="0" w:color="auto"/>
                                            <w:right w:val="none" w:sz="0" w:space="0" w:color="auto"/>
                                          </w:divBdr>
                                          <w:divsChild>
                                            <w:div w:id="759837468">
                                              <w:marLeft w:val="0"/>
                                              <w:marRight w:val="0"/>
                                              <w:marTop w:val="0"/>
                                              <w:marBottom w:val="0"/>
                                              <w:divBdr>
                                                <w:top w:val="none" w:sz="0" w:space="0" w:color="auto"/>
                                                <w:left w:val="none" w:sz="0" w:space="0" w:color="auto"/>
                                                <w:bottom w:val="none" w:sz="0" w:space="0" w:color="auto"/>
                                                <w:right w:val="none" w:sz="0" w:space="0" w:color="auto"/>
                                              </w:divBdr>
                                              <w:divsChild>
                                                <w:div w:id="1364742458">
                                                  <w:marLeft w:val="0"/>
                                                  <w:marRight w:val="0"/>
                                                  <w:marTop w:val="0"/>
                                                  <w:marBottom w:val="0"/>
                                                  <w:divBdr>
                                                    <w:top w:val="none" w:sz="0" w:space="0" w:color="auto"/>
                                                    <w:left w:val="none" w:sz="0" w:space="0" w:color="auto"/>
                                                    <w:bottom w:val="none" w:sz="0" w:space="0" w:color="auto"/>
                                                    <w:right w:val="none" w:sz="0" w:space="0" w:color="auto"/>
                                                  </w:divBdr>
                                                  <w:divsChild>
                                                    <w:div w:id="134110924">
                                                      <w:marLeft w:val="0"/>
                                                      <w:marRight w:val="0"/>
                                                      <w:marTop w:val="0"/>
                                                      <w:marBottom w:val="0"/>
                                                      <w:divBdr>
                                                        <w:top w:val="none" w:sz="0" w:space="0" w:color="auto"/>
                                                        <w:left w:val="none" w:sz="0" w:space="0" w:color="auto"/>
                                                        <w:bottom w:val="none" w:sz="0" w:space="0" w:color="auto"/>
                                                        <w:right w:val="none" w:sz="0" w:space="0" w:color="auto"/>
                                                      </w:divBdr>
                                                      <w:divsChild>
                                                        <w:div w:id="1302613721">
                                                          <w:marLeft w:val="0"/>
                                                          <w:marRight w:val="0"/>
                                                          <w:marTop w:val="0"/>
                                                          <w:marBottom w:val="0"/>
                                                          <w:divBdr>
                                                            <w:top w:val="none" w:sz="0" w:space="0" w:color="auto"/>
                                                            <w:left w:val="none" w:sz="0" w:space="0" w:color="auto"/>
                                                            <w:bottom w:val="none" w:sz="0" w:space="0" w:color="auto"/>
                                                            <w:right w:val="none" w:sz="0" w:space="0" w:color="auto"/>
                                                          </w:divBdr>
                                                          <w:divsChild>
                                                            <w:div w:id="106776973">
                                                              <w:marLeft w:val="0"/>
                                                              <w:marRight w:val="0"/>
                                                              <w:marTop w:val="0"/>
                                                              <w:marBottom w:val="0"/>
                                                              <w:divBdr>
                                                                <w:top w:val="none" w:sz="0" w:space="0" w:color="auto"/>
                                                                <w:left w:val="none" w:sz="0" w:space="0" w:color="auto"/>
                                                                <w:bottom w:val="none" w:sz="0" w:space="0" w:color="auto"/>
                                                                <w:right w:val="none" w:sz="0" w:space="0" w:color="auto"/>
                                                              </w:divBdr>
                                                              <w:divsChild>
                                                                <w:div w:id="91516889">
                                                                  <w:marLeft w:val="0"/>
                                                                  <w:marRight w:val="0"/>
                                                                  <w:marTop w:val="0"/>
                                                                  <w:marBottom w:val="0"/>
                                                                  <w:divBdr>
                                                                    <w:top w:val="none" w:sz="0" w:space="0" w:color="auto"/>
                                                                    <w:left w:val="none" w:sz="0" w:space="0" w:color="auto"/>
                                                                    <w:bottom w:val="none" w:sz="0" w:space="0" w:color="auto"/>
                                                                    <w:right w:val="none" w:sz="0" w:space="0" w:color="auto"/>
                                                                  </w:divBdr>
                                                                  <w:divsChild>
                                                                    <w:div w:id="18624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5941624">
      <w:bodyDiv w:val="1"/>
      <w:marLeft w:val="0"/>
      <w:marRight w:val="0"/>
      <w:marTop w:val="0"/>
      <w:marBottom w:val="0"/>
      <w:divBdr>
        <w:top w:val="none" w:sz="0" w:space="0" w:color="auto"/>
        <w:left w:val="none" w:sz="0" w:space="0" w:color="auto"/>
        <w:bottom w:val="none" w:sz="0" w:space="0" w:color="auto"/>
        <w:right w:val="none" w:sz="0" w:space="0" w:color="auto"/>
      </w:divBdr>
    </w:div>
    <w:div w:id="1597865729">
      <w:bodyDiv w:val="1"/>
      <w:marLeft w:val="0"/>
      <w:marRight w:val="0"/>
      <w:marTop w:val="0"/>
      <w:marBottom w:val="0"/>
      <w:divBdr>
        <w:top w:val="none" w:sz="0" w:space="0" w:color="auto"/>
        <w:left w:val="none" w:sz="0" w:space="0" w:color="auto"/>
        <w:bottom w:val="none" w:sz="0" w:space="0" w:color="auto"/>
        <w:right w:val="none" w:sz="0" w:space="0" w:color="auto"/>
      </w:divBdr>
    </w:div>
    <w:div w:id="1608855404">
      <w:bodyDiv w:val="1"/>
      <w:marLeft w:val="0"/>
      <w:marRight w:val="0"/>
      <w:marTop w:val="0"/>
      <w:marBottom w:val="0"/>
      <w:divBdr>
        <w:top w:val="none" w:sz="0" w:space="0" w:color="auto"/>
        <w:left w:val="none" w:sz="0" w:space="0" w:color="auto"/>
        <w:bottom w:val="none" w:sz="0" w:space="0" w:color="auto"/>
        <w:right w:val="none" w:sz="0" w:space="0" w:color="auto"/>
      </w:divBdr>
    </w:div>
    <w:div w:id="1612124050">
      <w:bodyDiv w:val="1"/>
      <w:marLeft w:val="0"/>
      <w:marRight w:val="0"/>
      <w:marTop w:val="0"/>
      <w:marBottom w:val="0"/>
      <w:divBdr>
        <w:top w:val="none" w:sz="0" w:space="0" w:color="auto"/>
        <w:left w:val="none" w:sz="0" w:space="0" w:color="auto"/>
        <w:bottom w:val="none" w:sz="0" w:space="0" w:color="auto"/>
        <w:right w:val="none" w:sz="0" w:space="0" w:color="auto"/>
      </w:divBdr>
    </w:div>
    <w:div w:id="1618294759">
      <w:bodyDiv w:val="1"/>
      <w:marLeft w:val="0"/>
      <w:marRight w:val="0"/>
      <w:marTop w:val="0"/>
      <w:marBottom w:val="0"/>
      <w:divBdr>
        <w:top w:val="none" w:sz="0" w:space="0" w:color="auto"/>
        <w:left w:val="none" w:sz="0" w:space="0" w:color="auto"/>
        <w:bottom w:val="none" w:sz="0" w:space="0" w:color="auto"/>
        <w:right w:val="none" w:sz="0" w:space="0" w:color="auto"/>
      </w:divBdr>
    </w:div>
    <w:div w:id="1619414439">
      <w:bodyDiv w:val="1"/>
      <w:marLeft w:val="0"/>
      <w:marRight w:val="0"/>
      <w:marTop w:val="0"/>
      <w:marBottom w:val="0"/>
      <w:divBdr>
        <w:top w:val="none" w:sz="0" w:space="0" w:color="auto"/>
        <w:left w:val="none" w:sz="0" w:space="0" w:color="auto"/>
        <w:bottom w:val="none" w:sz="0" w:space="0" w:color="auto"/>
        <w:right w:val="none" w:sz="0" w:space="0" w:color="auto"/>
      </w:divBdr>
    </w:div>
    <w:div w:id="1625891989">
      <w:bodyDiv w:val="1"/>
      <w:marLeft w:val="0"/>
      <w:marRight w:val="0"/>
      <w:marTop w:val="0"/>
      <w:marBottom w:val="0"/>
      <w:divBdr>
        <w:top w:val="none" w:sz="0" w:space="0" w:color="auto"/>
        <w:left w:val="none" w:sz="0" w:space="0" w:color="auto"/>
        <w:bottom w:val="none" w:sz="0" w:space="0" w:color="auto"/>
        <w:right w:val="none" w:sz="0" w:space="0" w:color="auto"/>
      </w:divBdr>
    </w:div>
    <w:div w:id="1626889270">
      <w:bodyDiv w:val="1"/>
      <w:marLeft w:val="0"/>
      <w:marRight w:val="0"/>
      <w:marTop w:val="0"/>
      <w:marBottom w:val="0"/>
      <w:divBdr>
        <w:top w:val="none" w:sz="0" w:space="0" w:color="auto"/>
        <w:left w:val="none" w:sz="0" w:space="0" w:color="auto"/>
        <w:bottom w:val="none" w:sz="0" w:space="0" w:color="auto"/>
        <w:right w:val="none" w:sz="0" w:space="0" w:color="auto"/>
      </w:divBdr>
    </w:div>
    <w:div w:id="1634172257">
      <w:bodyDiv w:val="1"/>
      <w:marLeft w:val="0"/>
      <w:marRight w:val="0"/>
      <w:marTop w:val="0"/>
      <w:marBottom w:val="0"/>
      <w:divBdr>
        <w:top w:val="none" w:sz="0" w:space="0" w:color="auto"/>
        <w:left w:val="none" w:sz="0" w:space="0" w:color="auto"/>
        <w:bottom w:val="none" w:sz="0" w:space="0" w:color="auto"/>
        <w:right w:val="none" w:sz="0" w:space="0" w:color="auto"/>
      </w:divBdr>
    </w:div>
    <w:div w:id="1634558296">
      <w:bodyDiv w:val="1"/>
      <w:marLeft w:val="0"/>
      <w:marRight w:val="0"/>
      <w:marTop w:val="0"/>
      <w:marBottom w:val="0"/>
      <w:divBdr>
        <w:top w:val="none" w:sz="0" w:space="0" w:color="auto"/>
        <w:left w:val="none" w:sz="0" w:space="0" w:color="auto"/>
        <w:bottom w:val="none" w:sz="0" w:space="0" w:color="auto"/>
        <w:right w:val="none" w:sz="0" w:space="0" w:color="auto"/>
      </w:divBdr>
    </w:div>
    <w:div w:id="1652056697">
      <w:bodyDiv w:val="1"/>
      <w:marLeft w:val="0"/>
      <w:marRight w:val="0"/>
      <w:marTop w:val="0"/>
      <w:marBottom w:val="0"/>
      <w:divBdr>
        <w:top w:val="none" w:sz="0" w:space="0" w:color="auto"/>
        <w:left w:val="none" w:sz="0" w:space="0" w:color="auto"/>
        <w:bottom w:val="none" w:sz="0" w:space="0" w:color="auto"/>
        <w:right w:val="none" w:sz="0" w:space="0" w:color="auto"/>
      </w:divBdr>
    </w:div>
    <w:div w:id="1652441005">
      <w:bodyDiv w:val="1"/>
      <w:marLeft w:val="0"/>
      <w:marRight w:val="0"/>
      <w:marTop w:val="0"/>
      <w:marBottom w:val="0"/>
      <w:divBdr>
        <w:top w:val="none" w:sz="0" w:space="0" w:color="auto"/>
        <w:left w:val="none" w:sz="0" w:space="0" w:color="auto"/>
        <w:bottom w:val="none" w:sz="0" w:space="0" w:color="auto"/>
        <w:right w:val="none" w:sz="0" w:space="0" w:color="auto"/>
      </w:divBdr>
    </w:div>
    <w:div w:id="1663507472">
      <w:bodyDiv w:val="1"/>
      <w:marLeft w:val="0"/>
      <w:marRight w:val="0"/>
      <w:marTop w:val="0"/>
      <w:marBottom w:val="0"/>
      <w:divBdr>
        <w:top w:val="none" w:sz="0" w:space="0" w:color="auto"/>
        <w:left w:val="none" w:sz="0" w:space="0" w:color="auto"/>
        <w:bottom w:val="none" w:sz="0" w:space="0" w:color="auto"/>
        <w:right w:val="none" w:sz="0" w:space="0" w:color="auto"/>
      </w:divBdr>
    </w:div>
    <w:div w:id="1665353427">
      <w:bodyDiv w:val="1"/>
      <w:marLeft w:val="0"/>
      <w:marRight w:val="0"/>
      <w:marTop w:val="0"/>
      <w:marBottom w:val="0"/>
      <w:divBdr>
        <w:top w:val="none" w:sz="0" w:space="0" w:color="auto"/>
        <w:left w:val="none" w:sz="0" w:space="0" w:color="auto"/>
        <w:bottom w:val="none" w:sz="0" w:space="0" w:color="auto"/>
        <w:right w:val="none" w:sz="0" w:space="0" w:color="auto"/>
      </w:divBdr>
    </w:div>
    <w:div w:id="1676028859">
      <w:bodyDiv w:val="1"/>
      <w:marLeft w:val="0"/>
      <w:marRight w:val="0"/>
      <w:marTop w:val="0"/>
      <w:marBottom w:val="0"/>
      <w:divBdr>
        <w:top w:val="none" w:sz="0" w:space="0" w:color="auto"/>
        <w:left w:val="none" w:sz="0" w:space="0" w:color="auto"/>
        <w:bottom w:val="none" w:sz="0" w:space="0" w:color="auto"/>
        <w:right w:val="none" w:sz="0" w:space="0" w:color="auto"/>
      </w:divBdr>
    </w:div>
    <w:div w:id="1677801453">
      <w:bodyDiv w:val="1"/>
      <w:marLeft w:val="0"/>
      <w:marRight w:val="0"/>
      <w:marTop w:val="0"/>
      <w:marBottom w:val="0"/>
      <w:divBdr>
        <w:top w:val="none" w:sz="0" w:space="0" w:color="auto"/>
        <w:left w:val="none" w:sz="0" w:space="0" w:color="auto"/>
        <w:bottom w:val="none" w:sz="0" w:space="0" w:color="auto"/>
        <w:right w:val="none" w:sz="0" w:space="0" w:color="auto"/>
      </w:divBdr>
    </w:div>
    <w:div w:id="1685936051">
      <w:bodyDiv w:val="1"/>
      <w:marLeft w:val="0"/>
      <w:marRight w:val="0"/>
      <w:marTop w:val="0"/>
      <w:marBottom w:val="0"/>
      <w:divBdr>
        <w:top w:val="none" w:sz="0" w:space="0" w:color="auto"/>
        <w:left w:val="none" w:sz="0" w:space="0" w:color="auto"/>
        <w:bottom w:val="none" w:sz="0" w:space="0" w:color="auto"/>
        <w:right w:val="none" w:sz="0" w:space="0" w:color="auto"/>
      </w:divBdr>
    </w:div>
    <w:div w:id="1693652423">
      <w:bodyDiv w:val="1"/>
      <w:marLeft w:val="0"/>
      <w:marRight w:val="0"/>
      <w:marTop w:val="0"/>
      <w:marBottom w:val="0"/>
      <w:divBdr>
        <w:top w:val="none" w:sz="0" w:space="0" w:color="auto"/>
        <w:left w:val="none" w:sz="0" w:space="0" w:color="auto"/>
        <w:bottom w:val="none" w:sz="0" w:space="0" w:color="auto"/>
        <w:right w:val="none" w:sz="0" w:space="0" w:color="auto"/>
      </w:divBdr>
    </w:div>
    <w:div w:id="1697802490">
      <w:bodyDiv w:val="1"/>
      <w:marLeft w:val="0"/>
      <w:marRight w:val="0"/>
      <w:marTop w:val="0"/>
      <w:marBottom w:val="0"/>
      <w:divBdr>
        <w:top w:val="none" w:sz="0" w:space="0" w:color="auto"/>
        <w:left w:val="none" w:sz="0" w:space="0" w:color="auto"/>
        <w:bottom w:val="none" w:sz="0" w:space="0" w:color="auto"/>
        <w:right w:val="none" w:sz="0" w:space="0" w:color="auto"/>
      </w:divBdr>
    </w:div>
    <w:div w:id="1698265286">
      <w:bodyDiv w:val="1"/>
      <w:marLeft w:val="0"/>
      <w:marRight w:val="0"/>
      <w:marTop w:val="0"/>
      <w:marBottom w:val="0"/>
      <w:divBdr>
        <w:top w:val="none" w:sz="0" w:space="0" w:color="auto"/>
        <w:left w:val="none" w:sz="0" w:space="0" w:color="auto"/>
        <w:bottom w:val="none" w:sz="0" w:space="0" w:color="auto"/>
        <w:right w:val="none" w:sz="0" w:space="0" w:color="auto"/>
      </w:divBdr>
    </w:div>
    <w:div w:id="1699895164">
      <w:bodyDiv w:val="1"/>
      <w:marLeft w:val="0"/>
      <w:marRight w:val="0"/>
      <w:marTop w:val="0"/>
      <w:marBottom w:val="0"/>
      <w:divBdr>
        <w:top w:val="none" w:sz="0" w:space="0" w:color="auto"/>
        <w:left w:val="none" w:sz="0" w:space="0" w:color="auto"/>
        <w:bottom w:val="none" w:sz="0" w:space="0" w:color="auto"/>
        <w:right w:val="none" w:sz="0" w:space="0" w:color="auto"/>
      </w:divBdr>
    </w:div>
    <w:div w:id="1700466485">
      <w:bodyDiv w:val="1"/>
      <w:marLeft w:val="0"/>
      <w:marRight w:val="0"/>
      <w:marTop w:val="0"/>
      <w:marBottom w:val="0"/>
      <w:divBdr>
        <w:top w:val="none" w:sz="0" w:space="0" w:color="auto"/>
        <w:left w:val="none" w:sz="0" w:space="0" w:color="auto"/>
        <w:bottom w:val="none" w:sz="0" w:space="0" w:color="auto"/>
        <w:right w:val="none" w:sz="0" w:space="0" w:color="auto"/>
      </w:divBdr>
    </w:div>
    <w:div w:id="1707412283">
      <w:bodyDiv w:val="1"/>
      <w:marLeft w:val="0"/>
      <w:marRight w:val="0"/>
      <w:marTop w:val="0"/>
      <w:marBottom w:val="0"/>
      <w:divBdr>
        <w:top w:val="none" w:sz="0" w:space="0" w:color="auto"/>
        <w:left w:val="none" w:sz="0" w:space="0" w:color="auto"/>
        <w:bottom w:val="none" w:sz="0" w:space="0" w:color="auto"/>
        <w:right w:val="none" w:sz="0" w:space="0" w:color="auto"/>
      </w:divBdr>
    </w:div>
    <w:div w:id="1720738951">
      <w:bodyDiv w:val="1"/>
      <w:marLeft w:val="0"/>
      <w:marRight w:val="0"/>
      <w:marTop w:val="0"/>
      <w:marBottom w:val="0"/>
      <w:divBdr>
        <w:top w:val="none" w:sz="0" w:space="0" w:color="auto"/>
        <w:left w:val="none" w:sz="0" w:space="0" w:color="auto"/>
        <w:bottom w:val="none" w:sz="0" w:space="0" w:color="auto"/>
        <w:right w:val="none" w:sz="0" w:space="0" w:color="auto"/>
      </w:divBdr>
    </w:div>
    <w:div w:id="1722054578">
      <w:bodyDiv w:val="1"/>
      <w:marLeft w:val="0"/>
      <w:marRight w:val="0"/>
      <w:marTop w:val="0"/>
      <w:marBottom w:val="0"/>
      <w:divBdr>
        <w:top w:val="none" w:sz="0" w:space="0" w:color="auto"/>
        <w:left w:val="none" w:sz="0" w:space="0" w:color="auto"/>
        <w:bottom w:val="none" w:sz="0" w:space="0" w:color="auto"/>
        <w:right w:val="none" w:sz="0" w:space="0" w:color="auto"/>
      </w:divBdr>
    </w:div>
    <w:div w:id="1722485535">
      <w:bodyDiv w:val="1"/>
      <w:marLeft w:val="0"/>
      <w:marRight w:val="0"/>
      <w:marTop w:val="0"/>
      <w:marBottom w:val="0"/>
      <w:divBdr>
        <w:top w:val="none" w:sz="0" w:space="0" w:color="auto"/>
        <w:left w:val="none" w:sz="0" w:space="0" w:color="auto"/>
        <w:bottom w:val="none" w:sz="0" w:space="0" w:color="auto"/>
        <w:right w:val="none" w:sz="0" w:space="0" w:color="auto"/>
      </w:divBdr>
    </w:div>
    <w:div w:id="1731077693">
      <w:bodyDiv w:val="1"/>
      <w:marLeft w:val="0"/>
      <w:marRight w:val="0"/>
      <w:marTop w:val="0"/>
      <w:marBottom w:val="0"/>
      <w:divBdr>
        <w:top w:val="none" w:sz="0" w:space="0" w:color="auto"/>
        <w:left w:val="none" w:sz="0" w:space="0" w:color="auto"/>
        <w:bottom w:val="none" w:sz="0" w:space="0" w:color="auto"/>
        <w:right w:val="none" w:sz="0" w:space="0" w:color="auto"/>
      </w:divBdr>
    </w:div>
    <w:div w:id="1731802451">
      <w:bodyDiv w:val="1"/>
      <w:marLeft w:val="0"/>
      <w:marRight w:val="0"/>
      <w:marTop w:val="0"/>
      <w:marBottom w:val="0"/>
      <w:divBdr>
        <w:top w:val="none" w:sz="0" w:space="0" w:color="auto"/>
        <w:left w:val="none" w:sz="0" w:space="0" w:color="auto"/>
        <w:bottom w:val="none" w:sz="0" w:space="0" w:color="auto"/>
        <w:right w:val="none" w:sz="0" w:space="0" w:color="auto"/>
      </w:divBdr>
    </w:div>
    <w:div w:id="1736583304">
      <w:bodyDiv w:val="1"/>
      <w:marLeft w:val="0"/>
      <w:marRight w:val="0"/>
      <w:marTop w:val="0"/>
      <w:marBottom w:val="0"/>
      <w:divBdr>
        <w:top w:val="none" w:sz="0" w:space="0" w:color="auto"/>
        <w:left w:val="none" w:sz="0" w:space="0" w:color="auto"/>
        <w:bottom w:val="none" w:sz="0" w:space="0" w:color="auto"/>
        <w:right w:val="none" w:sz="0" w:space="0" w:color="auto"/>
      </w:divBdr>
    </w:div>
    <w:div w:id="1744374406">
      <w:bodyDiv w:val="1"/>
      <w:marLeft w:val="0"/>
      <w:marRight w:val="0"/>
      <w:marTop w:val="0"/>
      <w:marBottom w:val="0"/>
      <w:divBdr>
        <w:top w:val="none" w:sz="0" w:space="0" w:color="auto"/>
        <w:left w:val="none" w:sz="0" w:space="0" w:color="auto"/>
        <w:bottom w:val="none" w:sz="0" w:space="0" w:color="auto"/>
        <w:right w:val="none" w:sz="0" w:space="0" w:color="auto"/>
      </w:divBdr>
    </w:div>
    <w:div w:id="1751612643">
      <w:bodyDiv w:val="1"/>
      <w:marLeft w:val="0"/>
      <w:marRight w:val="0"/>
      <w:marTop w:val="0"/>
      <w:marBottom w:val="0"/>
      <w:divBdr>
        <w:top w:val="none" w:sz="0" w:space="0" w:color="auto"/>
        <w:left w:val="none" w:sz="0" w:space="0" w:color="auto"/>
        <w:bottom w:val="none" w:sz="0" w:space="0" w:color="auto"/>
        <w:right w:val="none" w:sz="0" w:space="0" w:color="auto"/>
      </w:divBdr>
    </w:div>
    <w:div w:id="1762331749">
      <w:bodyDiv w:val="1"/>
      <w:marLeft w:val="0"/>
      <w:marRight w:val="0"/>
      <w:marTop w:val="0"/>
      <w:marBottom w:val="0"/>
      <w:divBdr>
        <w:top w:val="none" w:sz="0" w:space="0" w:color="auto"/>
        <w:left w:val="none" w:sz="0" w:space="0" w:color="auto"/>
        <w:bottom w:val="none" w:sz="0" w:space="0" w:color="auto"/>
        <w:right w:val="none" w:sz="0" w:space="0" w:color="auto"/>
      </w:divBdr>
    </w:div>
    <w:div w:id="1769543424">
      <w:bodyDiv w:val="1"/>
      <w:marLeft w:val="0"/>
      <w:marRight w:val="0"/>
      <w:marTop w:val="0"/>
      <w:marBottom w:val="0"/>
      <w:divBdr>
        <w:top w:val="none" w:sz="0" w:space="0" w:color="auto"/>
        <w:left w:val="none" w:sz="0" w:space="0" w:color="auto"/>
        <w:bottom w:val="none" w:sz="0" w:space="0" w:color="auto"/>
        <w:right w:val="none" w:sz="0" w:space="0" w:color="auto"/>
      </w:divBdr>
    </w:div>
    <w:div w:id="1779250514">
      <w:bodyDiv w:val="1"/>
      <w:marLeft w:val="0"/>
      <w:marRight w:val="0"/>
      <w:marTop w:val="0"/>
      <w:marBottom w:val="0"/>
      <w:divBdr>
        <w:top w:val="none" w:sz="0" w:space="0" w:color="auto"/>
        <w:left w:val="none" w:sz="0" w:space="0" w:color="auto"/>
        <w:bottom w:val="none" w:sz="0" w:space="0" w:color="auto"/>
        <w:right w:val="none" w:sz="0" w:space="0" w:color="auto"/>
      </w:divBdr>
    </w:div>
    <w:div w:id="1783108156">
      <w:bodyDiv w:val="1"/>
      <w:marLeft w:val="0"/>
      <w:marRight w:val="0"/>
      <w:marTop w:val="0"/>
      <w:marBottom w:val="0"/>
      <w:divBdr>
        <w:top w:val="none" w:sz="0" w:space="0" w:color="auto"/>
        <w:left w:val="none" w:sz="0" w:space="0" w:color="auto"/>
        <w:bottom w:val="none" w:sz="0" w:space="0" w:color="auto"/>
        <w:right w:val="none" w:sz="0" w:space="0" w:color="auto"/>
      </w:divBdr>
    </w:div>
    <w:div w:id="1784183881">
      <w:bodyDiv w:val="1"/>
      <w:marLeft w:val="0"/>
      <w:marRight w:val="0"/>
      <w:marTop w:val="0"/>
      <w:marBottom w:val="0"/>
      <w:divBdr>
        <w:top w:val="none" w:sz="0" w:space="0" w:color="auto"/>
        <w:left w:val="none" w:sz="0" w:space="0" w:color="auto"/>
        <w:bottom w:val="none" w:sz="0" w:space="0" w:color="auto"/>
        <w:right w:val="none" w:sz="0" w:space="0" w:color="auto"/>
      </w:divBdr>
    </w:div>
    <w:div w:id="1792936813">
      <w:bodyDiv w:val="1"/>
      <w:marLeft w:val="0"/>
      <w:marRight w:val="0"/>
      <w:marTop w:val="0"/>
      <w:marBottom w:val="0"/>
      <w:divBdr>
        <w:top w:val="none" w:sz="0" w:space="0" w:color="auto"/>
        <w:left w:val="none" w:sz="0" w:space="0" w:color="auto"/>
        <w:bottom w:val="none" w:sz="0" w:space="0" w:color="auto"/>
        <w:right w:val="none" w:sz="0" w:space="0" w:color="auto"/>
      </w:divBdr>
    </w:div>
    <w:div w:id="1800416491">
      <w:bodyDiv w:val="1"/>
      <w:marLeft w:val="0"/>
      <w:marRight w:val="0"/>
      <w:marTop w:val="0"/>
      <w:marBottom w:val="0"/>
      <w:divBdr>
        <w:top w:val="none" w:sz="0" w:space="0" w:color="auto"/>
        <w:left w:val="none" w:sz="0" w:space="0" w:color="auto"/>
        <w:bottom w:val="none" w:sz="0" w:space="0" w:color="auto"/>
        <w:right w:val="none" w:sz="0" w:space="0" w:color="auto"/>
      </w:divBdr>
    </w:div>
    <w:div w:id="1808090083">
      <w:bodyDiv w:val="1"/>
      <w:marLeft w:val="0"/>
      <w:marRight w:val="0"/>
      <w:marTop w:val="0"/>
      <w:marBottom w:val="0"/>
      <w:divBdr>
        <w:top w:val="none" w:sz="0" w:space="0" w:color="auto"/>
        <w:left w:val="none" w:sz="0" w:space="0" w:color="auto"/>
        <w:bottom w:val="none" w:sz="0" w:space="0" w:color="auto"/>
        <w:right w:val="none" w:sz="0" w:space="0" w:color="auto"/>
      </w:divBdr>
    </w:div>
    <w:div w:id="1809935061">
      <w:bodyDiv w:val="1"/>
      <w:marLeft w:val="0"/>
      <w:marRight w:val="0"/>
      <w:marTop w:val="0"/>
      <w:marBottom w:val="0"/>
      <w:divBdr>
        <w:top w:val="none" w:sz="0" w:space="0" w:color="auto"/>
        <w:left w:val="none" w:sz="0" w:space="0" w:color="auto"/>
        <w:bottom w:val="none" w:sz="0" w:space="0" w:color="auto"/>
        <w:right w:val="none" w:sz="0" w:space="0" w:color="auto"/>
      </w:divBdr>
    </w:div>
    <w:div w:id="1813791419">
      <w:bodyDiv w:val="1"/>
      <w:marLeft w:val="0"/>
      <w:marRight w:val="0"/>
      <w:marTop w:val="0"/>
      <w:marBottom w:val="0"/>
      <w:divBdr>
        <w:top w:val="none" w:sz="0" w:space="0" w:color="auto"/>
        <w:left w:val="none" w:sz="0" w:space="0" w:color="auto"/>
        <w:bottom w:val="none" w:sz="0" w:space="0" w:color="auto"/>
        <w:right w:val="none" w:sz="0" w:space="0" w:color="auto"/>
      </w:divBdr>
      <w:divsChild>
        <w:div w:id="385763669">
          <w:marLeft w:val="0"/>
          <w:marRight w:val="0"/>
          <w:marTop w:val="0"/>
          <w:marBottom w:val="0"/>
          <w:divBdr>
            <w:top w:val="none" w:sz="0" w:space="0" w:color="auto"/>
            <w:left w:val="none" w:sz="0" w:space="0" w:color="auto"/>
            <w:bottom w:val="none" w:sz="0" w:space="0" w:color="auto"/>
            <w:right w:val="none" w:sz="0" w:space="0" w:color="auto"/>
          </w:divBdr>
          <w:divsChild>
            <w:div w:id="1813599612">
              <w:marLeft w:val="0"/>
              <w:marRight w:val="0"/>
              <w:marTop w:val="0"/>
              <w:marBottom w:val="0"/>
              <w:divBdr>
                <w:top w:val="none" w:sz="0" w:space="0" w:color="auto"/>
                <w:left w:val="none" w:sz="0" w:space="0" w:color="auto"/>
                <w:bottom w:val="none" w:sz="0" w:space="0" w:color="auto"/>
                <w:right w:val="none" w:sz="0" w:space="0" w:color="auto"/>
              </w:divBdr>
              <w:divsChild>
                <w:div w:id="2091581456">
                  <w:marLeft w:val="0"/>
                  <w:marRight w:val="0"/>
                  <w:marTop w:val="0"/>
                  <w:marBottom w:val="0"/>
                  <w:divBdr>
                    <w:top w:val="none" w:sz="0" w:space="0" w:color="auto"/>
                    <w:left w:val="none" w:sz="0" w:space="0" w:color="auto"/>
                    <w:bottom w:val="none" w:sz="0" w:space="0" w:color="auto"/>
                    <w:right w:val="none" w:sz="0" w:space="0" w:color="auto"/>
                  </w:divBdr>
                  <w:divsChild>
                    <w:div w:id="166680695">
                      <w:marLeft w:val="0"/>
                      <w:marRight w:val="0"/>
                      <w:marTop w:val="0"/>
                      <w:marBottom w:val="0"/>
                      <w:divBdr>
                        <w:top w:val="none" w:sz="0" w:space="0" w:color="auto"/>
                        <w:left w:val="none" w:sz="0" w:space="0" w:color="auto"/>
                        <w:bottom w:val="none" w:sz="0" w:space="0" w:color="auto"/>
                        <w:right w:val="none" w:sz="0" w:space="0" w:color="auto"/>
                      </w:divBdr>
                      <w:divsChild>
                        <w:div w:id="217937592">
                          <w:marLeft w:val="405"/>
                          <w:marRight w:val="0"/>
                          <w:marTop w:val="0"/>
                          <w:marBottom w:val="0"/>
                          <w:divBdr>
                            <w:top w:val="none" w:sz="0" w:space="0" w:color="auto"/>
                            <w:left w:val="none" w:sz="0" w:space="0" w:color="auto"/>
                            <w:bottom w:val="none" w:sz="0" w:space="0" w:color="auto"/>
                            <w:right w:val="none" w:sz="0" w:space="0" w:color="auto"/>
                          </w:divBdr>
                          <w:divsChild>
                            <w:div w:id="1598054404">
                              <w:marLeft w:val="0"/>
                              <w:marRight w:val="0"/>
                              <w:marTop w:val="0"/>
                              <w:marBottom w:val="0"/>
                              <w:divBdr>
                                <w:top w:val="none" w:sz="0" w:space="0" w:color="auto"/>
                                <w:left w:val="none" w:sz="0" w:space="0" w:color="auto"/>
                                <w:bottom w:val="none" w:sz="0" w:space="0" w:color="auto"/>
                                <w:right w:val="none" w:sz="0" w:space="0" w:color="auto"/>
                              </w:divBdr>
                              <w:divsChild>
                                <w:div w:id="1691299752">
                                  <w:marLeft w:val="0"/>
                                  <w:marRight w:val="0"/>
                                  <w:marTop w:val="0"/>
                                  <w:marBottom w:val="0"/>
                                  <w:divBdr>
                                    <w:top w:val="none" w:sz="0" w:space="0" w:color="auto"/>
                                    <w:left w:val="none" w:sz="0" w:space="0" w:color="auto"/>
                                    <w:bottom w:val="none" w:sz="0" w:space="0" w:color="auto"/>
                                    <w:right w:val="none" w:sz="0" w:space="0" w:color="auto"/>
                                  </w:divBdr>
                                  <w:divsChild>
                                    <w:div w:id="359935752">
                                      <w:marLeft w:val="0"/>
                                      <w:marRight w:val="0"/>
                                      <w:marTop w:val="60"/>
                                      <w:marBottom w:val="0"/>
                                      <w:divBdr>
                                        <w:top w:val="none" w:sz="0" w:space="0" w:color="auto"/>
                                        <w:left w:val="none" w:sz="0" w:space="0" w:color="auto"/>
                                        <w:bottom w:val="none" w:sz="0" w:space="0" w:color="auto"/>
                                        <w:right w:val="none" w:sz="0" w:space="0" w:color="auto"/>
                                      </w:divBdr>
                                      <w:divsChild>
                                        <w:div w:id="1981764050">
                                          <w:marLeft w:val="0"/>
                                          <w:marRight w:val="0"/>
                                          <w:marTop w:val="0"/>
                                          <w:marBottom w:val="0"/>
                                          <w:divBdr>
                                            <w:top w:val="none" w:sz="0" w:space="0" w:color="auto"/>
                                            <w:left w:val="none" w:sz="0" w:space="0" w:color="auto"/>
                                            <w:bottom w:val="none" w:sz="0" w:space="0" w:color="auto"/>
                                            <w:right w:val="none" w:sz="0" w:space="0" w:color="auto"/>
                                          </w:divBdr>
                                          <w:divsChild>
                                            <w:div w:id="1282688315">
                                              <w:marLeft w:val="0"/>
                                              <w:marRight w:val="0"/>
                                              <w:marTop w:val="0"/>
                                              <w:marBottom w:val="0"/>
                                              <w:divBdr>
                                                <w:top w:val="none" w:sz="0" w:space="0" w:color="auto"/>
                                                <w:left w:val="none" w:sz="0" w:space="0" w:color="auto"/>
                                                <w:bottom w:val="none" w:sz="0" w:space="0" w:color="auto"/>
                                                <w:right w:val="none" w:sz="0" w:space="0" w:color="auto"/>
                                              </w:divBdr>
                                              <w:divsChild>
                                                <w:div w:id="1737586495">
                                                  <w:marLeft w:val="0"/>
                                                  <w:marRight w:val="0"/>
                                                  <w:marTop w:val="0"/>
                                                  <w:marBottom w:val="0"/>
                                                  <w:divBdr>
                                                    <w:top w:val="none" w:sz="0" w:space="0" w:color="auto"/>
                                                    <w:left w:val="none" w:sz="0" w:space="0" w:color="auto"/>
                                                    <w:bottom w:val="none" w:sz="0" w:space="0" w:color="auto"/>
                                                    <w:right w:val="none" w:sz="0" w:space="0" w:color="auto"/>
                                                  </w:divBdr>
                                                  <w:divsChild>
                                                    <w:div w:id="1398287219">
                                                      <w:marLeft w:val="0"/>
                                                      <w:marRight w:val="0"/>
                                                      <w:marTop w:val="0"/>
                                                      <w:marBottom w:val="0"/>
                                                      <w:divBdr>
                                                        <w:top w:val="none" w:sz="0" w:space="0" w:color="auto"/>
                                                        <w:left w:val="none" w:sz="0" w:space="0" w:color="auto"/>
                                                        <w:bottom w:val="none" w:sz="0" w:space="0" w:color="auto"/>
                                                        <w:right w:val="none" w:sz="0" w:space="0" w:color="auto"/>
                                                      </w:divBdr>
                                                      <w:divsChild>
                                                        <w:div w:id="654381950">
                                                          <w:marLeft w:val="0"/>
                                                          <w:marRight w:val="0"/>
                                                          <w:marTop w:val="0"/>
                                                          <w:marBottom w:val="0"/>
                                                          <w:divBdr>
                                                            <w:top w:val="none" w:sz="0" w:space="0" w:color="auto"/>
                                                            <w:left w:val="none" w:sz="0" w:space="0" w:color="auto"/>
                                                            <w:bottom w:val="none" w:sz="0" w:space="0" w:color="auto"/>
                                                            <w:right w:val="none" w:sz="0" w:space="0" w:color="auto"/>
                                                          </w:divBdr>
                                                          <w:divsChild>
                                                            <w:div w:id="712191711">
                                                              <w:marLeft w:val="0"/>
                                                              <w:marRight w:val="0"/>
                                                              <w:marTop w:val="0"/>
                                                              <w:marBottom w:val="0"/>
                                                              <w:divBdr>
                                                                <w:top w:val="none" w:sz="0" w:space="0" w:color="auto"/>
                                                                <w:left w:val="none" w:sz="0" w:space="0" w:color="auto"/>
                                                                <w:bottom w:val="none" w:sz="0" w:space="0" w:color="auto"/>
                                                                <w:right w:val="none" w:sz="0" w:space="0" w:color="auto"/>
                                                              </w:divBdr>
                                                              <w:divsChild>
                                                                <w:div w:id="1161114645">
                                                                  <w:marLeft w:val="0"/>
                                                                  <w:marRight w:val="0"/>
                                                                  <w:marTop w:val="0"/>
                                                                  <w:marBottom w:val="0"/>
                                                                  <w:divBdr>
                                                                    <w:top w:val="none" w:sz="0" w:space="0" w:color="auto"/>
                                                                    <w:left w:val="none" w:sz="0" w:space="0" w:color="auto"/>
                                                                    <w:bottom w:val="none" w:sz="0" w:space="0" w:color="auto"/>
                                                                    <w:right w:val="none" w:sz="0" w:space="0" w:color="auto"/>
                                                                  </w:divBdr>
                                                                  <w:divsChild>
                                                                    <w:div w:id="7378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9153985">
      <w:bodyDiv w:val="1"/>
      <w:marLeft w:val="0"/>
      <w:marRight w:val="0"/>
      <w:marTop w:val="0"/>
      <w:marBottom w:val="0"/>
      <w:divBdr>
        <w:top w:val="none" w:sz="0" w:space="0" w:color="auto"/>
        <w:left w:val="none" w:sz="0" w:space="0" w:color="auto"/>
        <w:bottom w:val="none" w:sz="0" w:space="0" w:color="auto"/>
        <w:right w:val="none" w:sz="0" w:space="0" w:color="auto"/>
      </w:divBdr>
      <w:divsChild>
        <w:div w:id="610402544">
          <w:marLeft w:val="0"/>
          <w:marRight w:val="0"/>
          <w:marTop w:val="0"/>
          <w:marBottom w:val="0"/>
          <w:divBdr>
            <w:top w:val="none" w:sz="0" w:space="0" w:color="auto"/>
            <w:left w:val="none" w:sz="0" w:space="0" w:color="auto"/>
            <w:bottom w:val="none" w:sz="0" w:space="0" w:color="auto"/>
            <w:right w:val="none" w:sz="0" w:space="0" w:color="auto"/>
          </w:divBdr>
        </w:div>
        <w:div w:id="630669249">
          <w:marLeft w:val="0"/>
          <w:marRight w:val="0"/>
          <w:marTop w:val="0"/>
          <w:marBottom w:val="0"/>
          <w:divBdr>
            <w:top w:val="none" w:sz="0" w:space="0" w:color="auto"/>
            <w:left w:val="none" w:sz="0" w:space="0" w:color="auto"/>
            <w:bottom w:val="none" w:sz="0" w:space="0" w:color="auto"/>
            <w:right w:val="none" w:sz="0" w:space="0" w:color="auto"/>
          </w:divBdr>
        </w:div>
        <w:div w:id="1595897205">
          <w:marLeft w:val="0"/>
          <w:marRight w:val="0"/>
          <w:marTop w:val="0"/>
          <w:marBottom w:val="0"/>
          <w:divBdr>
            <w:top w:val="none" w:sz="0" w:space="0" w:color="auto"/>
            <w:left w:val="none" w:sz="0" w:space="0" w:color="auto"/>
            <w:bottom w:val="none" w:sz="0" w:space="0" w:color="auto"/>
            <w:right w:val="none" w:sz="0" w:space="0" w:color="auto"/>
          </w:divBdr>
        </w:div>
      </w:divsChild>
    </w:div>
    <w:div w:id="1823505439">
      <w:bodyDiv w:val="1"/>
      <w:marLeft w:val="0"/>
      <w:marRight w:val="0"/>
      <w:marTop w:val="0"/>
      <w:marBottom w:val="0"/>
      <w:divBdr>
        <w:top w:val="none" w:sz="0" w:space="0" w:color="auto"/>
        <w:left w:val="none" w:sz="0" w:space="0" w:color="auto"/>
        <w:bottom w:val="none" w:sz="0" w:space="0" w:color="auto"/>
        <w:right w:val="none" w:sz="0" w:space="0" w:color="auto"/>
      </w:divBdr>
    </w:div>
    <w:div w:id="1827015084">
      <w:bodyDiv w:val="1"/>
      <w:marLeft w:val="0"/>
      <w:marRight w:val="0"/>
      <w:marTop w:val="0"/>
      <w:marBottom w:val="0"/>
      <w:divBdr>
        <w:top w:val="none" w:sz="0" w:space="0" w:color="auto"/>
        <w:left w:val="none" w:sz="0" w:space="0" w:color="auto"/>
        <w:bottom w:val="none" w:sz="0" w:space="0" w:color="auto"/>
        <w:right w:val="none" w:sz="0" w:space="0" w:color="auto"/>
      </w:divBdr>
    </w:div>
    <w:div w:id="1834638349">
      <w:bodyDiv w:val="1"/>
      <w:marLeft w:val="0"/>
      <w:marRight w:val="0"/>
      <w:marTop w:val="0"/>
      <w:marBottom w:val="0"/>
      <w:divBdr>
        <w:top w:val="none" w:sz="0" w:space="0" w:color="auto"/>
        <w:left w:val="none" w:sz="0" w:space="0" w:color="auto"/>
        <w:bottom w:val="none" w:sz="0" w:space="0" w:color="auto"/>
        <w:right w:val="none" w:sz="0" w:space="0" w:color="auto"/>
      </w:divBdr>
    </w:div>
    <w:div w:id="1850951555">
      <w:bodyDiv w:val="1"/>
      <w:marLeft w:val="0"/>
      <w:marRight w:val="0"/>
      <w:marTop w:val="0"/>
      <w:marBottom w:val="0"/>
      <w:divBdr>
        <w:top w:val="none" w:sz="0" w:space="0" w:color="auto"/>
        <w:left w:val="none" w:sz="0" w:space="0" w:color="auto"/>
        <w:bottom w:val="none" w:sz="0" w:space="0" w:color="auto"/>
        <w:right w:val="none" w:sz="0" w:space="0" w:color="auto"/>
      </w:divBdr>
    </w:div>
    <w:div w:id="1862433476">
      <w:bodyDiv w:val="1"/>
      <w:marLeft w:val="0"/>
      <w:marRight w:val="0"/>
      <w:marTop w:val="0"/>
      <w:marBottom w:val="0"/>
      <w:divBdr>
        <w:top w:val="none" w:sz="0" w:space="0" w:color="auto"/>
        <w:left w:val="none" w:sz="0" w:space="0" w:color="auto"/>
        <w:bottom w:val="none" w:sz="0" w:space="0" w:color="auto"/>
        <w:right w:val="none" w:sz="0" w:space="0" w:color="auto"/>
      </w:divBdr>
    </w:div>
    <w:div w:id="1864586882">
      <w:bodyDiv w:val="1"/>
      <w:marLeft w:val="0"/>
      <w:marRight w:val="0"/>
      <w:marTop w:val="0"/>
      <w:marBottom w:val="0"/>
      <w:divBdr>
        <w:top w:val="none" w:sz="0" w:space="0" w:color="auto"/>
        <w:left w:val="none" w:sz="0" w:space="0" w:color="auto"/>
        <w:bottom w:val="none" w:sz="0" w:space="0" w:color="auto"/>
        <w:right w:val="none" w:sz="0" w:space="0" w:color="auto"/>
      </w:divBdr>
    </w:div>
    <w:div w:id="1865973241">
      <w:bodyDiv w:val="1"/>
      <w:marLeft w:val="0"/>
      <w:marRight w:val="0"/>
      <w:marTop w:val="0"/>
      <w:marBottom w:val="0"/>
      <w:divBdr>
        <w:top w:val="none" w:sz="0" w:space="0" w:color="auto"/>
        <w:left w:val="none" w:sz="0" w:space="0" w:color="auto"/>
        <w:bottom w:val="none" w:sz="0" w:space="0" w:color="auto"/>
        <w:right w:val="none" w:sz="0" w:space="0" w:color="auto"/>
      </w:divBdr>
    </w:div>
    <w:div w:id="1866406127">
      <w:bodyDiv w:val="1"/>
      <w:marLeft w:val="0"/>
      <w:marRight w:val="0"/>
      <w:marTop w:val="0"/>
      <w:marBottom w:val="0"/>
      <w:divBdr>
        <w:top w:val="none" w:sz="0" w:space="0" w:color="auto"/>
        <w:left w:val="none" w:sz="0" w:space="0" w:color="auto"/>
        <w:bottom w:val="none" w:sz="0" w:space="0" w:color="auto"/>
        <w:right w:val="none" w:sz="0" w:space="0" w:color="auto"/>
      </w:divBdr>
    </w:div>
    <w:div w:id="1880818442">
      <w:bodyDiv w:val="1"/>
      <w:marLeft w:val="0"/>
      <w:marRight w:val="0"/>
      <w:marTop w:val="0"/>
      <w:marBottom w:val="0"/>
      <w:divBdr>
        <w:top w:val="none" w:sz="0" w:space="0" w:color="auto"/>
        <w:left w:val="none" w:sz="0" w:space="0" w:color="auto"/>
        <w:bottom w:val="none" w:sz="0" w:space="0" w:color="auto"/>
        <w:right w:val="none" w:sz="0" w:space="0" w:color="auto"/>
      </w:divBdr>
    </w:div>
    <w:div w:id="1883327987">
      <w:bodyDiv w:val="1"/>
      <w:marLeft w:val="0"/>
      <w:marRight w:val="0"/>
      <w:marTop w:val="0"/>
      <w:marBottom w:val="0"/>
      <w:divBdr>
        <w:top w:val="none" w:sz="0" w:space="0" w:color="auto"/>
        <w:left w:val="none" w:sz="0" w:space="0" w:color="auto"/>
        <w:bottom w:val="none" w:sz="0" w:space="0" w:color="auto"/>
        <w:right w:val="none" w:sz="0" w:space="0" w:color="auto"/>
      </w:divBdr>
    </w:div>
    <w:div w:id="1891380884">
      <w:bodyDiv w:val="1"/>
      <w:marLeft w:val="0"/>
      <w:marRight w:val="0"/>
      <w:marTop w:val="0"/>
      <w:marBottom w:val="0"/>
      <w:divBdr>
        <w:top w:val="none" w:sz="0" w:space="0" w:color="auto"/>
        <w:left w:val="none" w:sz="0" w:space="0" w:color="auto"/>
        <w:bottom w:val="none" w:sz="0" w:space="0" w:color="auto"/>
        <w:right w:val="none" w:sz="0" w:space="0" w:color="auto"/>
      </w:divBdr>
    </w:div>
    <w:div w:id="1905215249">
      <w:bodyDiv w:val="1"/>
      <w:marLeft w:val="0"/>
      <w:marRight w:val="0"/>
      <w:marTop w:val="0"/>
      <w:marBottom w:val="0"/>
      <w:divBdr>
        <w:top w:val="none" w:sz="0" w:space="0" w:color="auto"/>
        <w:left w:val="none" w:sz="0" w:space="0" w:color="auto"/>
        <w:bottom w:val="none" w:sz="0" w:space="0" w:color="auto"/>
        <w:right w:val="none" w:sz="0" w:space="0" w:color="auto"/>
      </w:divBdr>
    </w:div>
    <w:div w:id="1914509857">
      <w:bodyDiv w:val="1"/>
      <w:marLeft w:val="0"/>
      <w:marRight w:val="0"/>
      <w:marTop w:val="0"/>
      <w:marBottom w:val="0"/>
      <w:divBdr>
        <w:top w:val="none" w:sz="0" w:space="0" w:color="auto"/>
        <w:left w:val="none" w:sz="0" w:space="0" w:color="auto"/>
        <w:bottom w:val="none" w:sz="0" w:space="0" w:color="auto"/>
        <w:right w:val="none" w:sz="0" w:space="0" w:color="auto"/>
      </w:divBdr>
    </w:div>
    <w:div w:id="1917127686">
      <w:bodyDiv w:val="1"/>
      <w:marLeft w:val="0"/>
      <w:marRight w:val="0"/>
      <w:marTop w:val="0"/>
      <w:marBottom w:val="0"/>
      <w:divBdr>
        <w:top w:val="none" w:sz="0" w:space="0" w:color="auto"/>
        <w:left w:val="none" w:sz="0" w:space="0" w:color="auto"/>
        <w:bottom w:val="none" w:sz="0" w:space="0" w:color="auto"/>
        <w:right w:val="none" w:sz="0" w:space="0" w:color="auto"/>
      </w:divBdr>
    </w:div>
    <w:div w:id="1917588544">
      <w:bodyDiv w:val="1"/>
      <w:marLeft w:val="0"/>
      <w:marRight w:val="0"/>
      <w:marTop w:val="0"/>
      <w:marBottom w:val="0"/>
      <w:divBdr>
        <w:top w:val="none" w:sz="0" w:space="0" w:color="auto"/>
        <w:left w:val="none" w:sz="0" w:space="0" w:color="auto"/>
        <w:bottom w:val="none" w:sz="0" w:space="0" w:color="auto"/>
        <w:right w:val="none" w:sz="0" w:space="0" w:color="auto"/>
      </w:divBdr>
    </w:div>
    <w:div w:id="1920211932">
      <w:bodyDiv w:val="1"/>
      <w:marLeft w:val="0"/>
      <w:marRight w:val="0"/>
      <w:marTop w:val="0"/>
      <w:marBottom w:val="0"/>
      <w:divBdr>
        <w:top w:val="none" w:sz="0" w:space="0" w:color="auto"/>
        <w:left w:val="none" w:sz="0" w:space="0" w:color="auto"/>
        <w:bottom w:val="none" w:sz="0" w:space="0" w:color="auto"/>
        <w:right w:val="none" w:sz="0" w:space="0" w:color="auto"/>
      </w:divBdr>
    </w:div>
    <w:div w:id="1928035906">
      <w:bodyDiv w:val="1"/>
      <w:marLeft w:val="0"/>
      <w:marRight w:val="0"/>
      <w:marTop w:val="0"/>
      <w:marBottom w:val="0"/>
      <w:divBdr>
        <w:top w:val="none" w:sz="0" w:space="0" w:color="auto"/>
        <w:left w:val="none" w:sz="0" w:space="0" w:color="auto"/>
        <w:bottom w:val="none" w:sz="0" w:space="0" w:color="auto"/>
        <w:right w:val="none" w:sz="0" w:space="0" w:color="auto"/>
      </w:divBdr>
    </w:div>
    <w:div w:id="1930000906">
      <w:bodyDiv w:val="1"/>
      <w:marLeft w:val="0"/>
      <w:marRight w:val="0"/>
      <w:marTop w:val="0"/>
      <w:marBottom w:val="0"/>
      <w:divBdr>
        <w:top w:val="none" w:sz="0" w:space="0" w:color="auto"/>
        <w:left w:val="none" w:sz="0" w:space="0" w:color="auto"/>
        <w:bottom w:val="none" w:sz="0" w:space="0" w:color="auto"/>
        <w:right w:val="none" w:sz="0" w:space="0" w:color="auto"/>
      </w:divBdr>
    </w:div>
    <w:div w:id="1956672251">
      <w:bodyDiv w:val="1"/>
      <w:marLeft w:val="0"/>
      <w:marRight w:val="0"/>
      <w:marTop w:val="0"/>
      <w:marBottom w:val="0"/>
      <w:divBdr>
        <w:top w:val="none" w:sz="0" w:space="0" w:color="auto"/>
        <w:left w:val="none" w:sz="0" w:space="0" w:color="auto"/>
        <w:bottom w:val="none" w:sz="0" w:space="0" w:color="auto"/>
        <w:right w:val="none" w:sz="0" w:space="0" w:color="auto"/>
      </w:divBdr>
    </w:div>
    <w:div w:id="1958827862">
      <w:bodyDiv w:val="1"/>
      <w:marLeft w:val="0"/>
      <w:marRight w:val="0"/>
      <w:marTop w:val="0"/>
      <w:marBottom w:val="0"/>
      <w:divBdr>
        <w:top w:val="none" w:sz="0" w:space="0" w:color="auto"/>
        <w:left w:val="none" w:sz="0" w:space="0" w:color="auto"/>
        <w:bottom w:val="none" w:sz="0" w:space="0" w:color="auto"/>
        <w:right w:val="none" w:sz="0" w:space="0" w:color="auto"/>
      </w:divBdr>
    </w:div>
    <w:div w:id="1961179388">
      <w:bodyDiv w:val="1"/>
      <w:marLeft w:val="0"/>
      <w:marRight w:val="0"/>
      <w:marTop w:val="0"/>
      <w:marBottom w:val="0"/>
      <w:divBdr>
        <w:top w:val="none" w:sz="0" w:space="0" w:color="auto"/>
        <w:left w:val="none" w:sz="0" w:space="0" w:color="auto"/>
        <w:bottom w:val="none" w:sz="0" w:space="0" w:color="auto"/>
        <w:right w:val="none" w:sz="0" w:space="0" w:color="auto"/>
      </w:divBdr>
    </w:div>
    <w:div w:id="1973831103">
      <w:bodyDiv w:val="1"/>
      <w:marLeft w:val="0"/>
      <w:marRight w:val="0"/>
      <w:marTop w:val="0"/>
      <w:marBottom w:val="0"/>
      <w:divBdr>
        <w:top w:val="none" w:sz="0" w:space="0" w:color="auto"/>
        <w:left w:val="none" w:sz="0" w:space="0" w:color="auto"/>
        <w:bottom w:val="none" w:sz="0" w:space="0" w:color="auto"/>
        <w:right w:val="none" w:sz="0" w:space="0" w:color="auto"/>
      </w:divBdr>
    </w:div>
    <w:div w:id="1974367101">
      <w:bodyDiv w:val="1"/>
      <w:marLeft w:val="0"/>
      <w:marRight w:val="0"/>
      <w:marTop w:val="0"/>
      <w:marBottom w:val="0"/>
      <w:divBdr>
        <w:top w:val="none" w:sz="0" w:space="0" w:color="auto"/>
        <w:left w:val="none" w:sz="0" w:space="0" w:color="auto"/>
        <w:bottom w:val="none" w:sz="0" w:space="0" w:color="auto"/>
        <w:right w:val="none" w:sz="0" w:space="0" w:color="auto"/>
      </w:divBdr>
    </w:div>
    <w:div w:id="1978874374">
      <w:bodyDiv w:val="1"/>
      <w:marLeft w:val="0"/>
      <w:marRight w:val="0"/>
      <w:marTop w:val="0"/>
      <w:marBottom w:val="0"/>
      <w:divBdr>
        <w:top w:val="none" w:sz="0" w:space="0" w:color="auto"/>
        <w:left w:val="none" w:sz="0" w:space="0" w:color="auto"/>
        <w:bottom w:val="none" w:sz="0" w:space="0" w:color="auto"/>
        <w:right w:val="none" w:sz="0" w:space="0" w:color="auto"/>
      </w:divBdr>
    </w:div>
    <w:div w:id="1984650173">
      <w:bodyDiv w:val="1"/>
      <w:marLeft w:val="0"/>
      <w:marRight w:val="0"/>
      <w:marTop w:val="0"/>
      <w:marBottom w:val="0"/>
      <w:divBdr>
        <w:top w:val="none" w:sz="0" w:space="0" w:color="auto"/>
        <w:left w:val="none" w:sz="0" w:space="0" w:color="auto"/>
        <w:bottom w:val="none" w:sz="0" w:space="0" w:color="auto"/>
        <w:right w:val="none" w:sz="0" w:space="0" w:color="auto"/>
      </w:divBdr>
    </w:div>
    <w:div w:id="1986356447">
      <w:bodyDiv w:val="1"/>
      <w:marLeft w:val="0"/>
      <w:marRight w:val="0"/>
      <w:marTop w:val="0"/>
      <w:marBottom w:val="0"/>
      <w:divBdr>
        <w:top w:val="none" w:sz="0" w:space="0" w:color="auto"/>
        <w:left w:val="none" w:sz="0" w:space="0" w:color="auto"/>
        <w:bottom w:val="none" w:sz="0" w:space="0" w:color="auto"/>
        <w:right w:val="none" w:sz="0" w:space="0" w:color="auto"/>
      </w:divBdr>
    </w:div>
    <w:div w:id="1990936960">
      <w:bodyDiv w:val="1"/>
      <w:marLeft w:val="0"/>
      <w:marRight w:val="0"/>
      <w:marTop w:val="0"/>
      <w:marBottom w:val="0"/>
      <w:divBdr>
        <w:top w:val="none" w:sz="0" w:space="0" w:color="auto"/>
        <w:left w:val="none" w:sz="0" w:space="0" w:color="auto"/>
        <w:bottom w:val="none" w:sz="0" w:space="0" w:color="auto"/>
        <w:right w:val="none" w:sz="0" w:space="0" w:color="auto"/>
      </w:divBdr>
    </w:div>
    <w:div w:id="2000038963">
      <w:bodyDiv w:val="1"/>
      <w:marLeft w:val="0"/>
      <w:marRight w:val="0"/>
      <w:marTop w:val="0"/>
      <w:marBottom w:val="0"/>
      <w:divBdr>
        <w:top w:val="none" w:sz="0" w:space="0" w:color="auto"/>
        <w:left w:val="none" w:sz="0" w:space="0" w:color="auto"/>
        <w:bottom w:val="none" w:sz="0" w:space="0" w:color="auto"/>
        <w:right w:val="none" w:sz="0" w:space="0" w:color="auto"/>
      </w:divBdr>
    </w:div>
    <w:div w:id="2000647018">
      <w:bodyDiv w:val="1"/>
      <w:marLeft w:val="0"/>
      <w:marRight w:val="0"/>
      <w:marTop w:val="0"/>
      <w:marBottom w:val="0"/>
      <w:divBdr>
        <w:top w:val="none" w:sz="0" w:space="0" w:color="auto"/>
        <w:left w:val="none" w:sz="0" w:space="0" w:color="auto"/>
        <w:bottom w:val="none" w:sz="0" w:space="0" w:color="auto"/>
        <w:right w:val="none" w:sz="0" w:space="0" w:color="auto"/>
      </w:divBdr>
    </w:div>
    <w:div w:id="2008244910">
      <w:bodyDiv w:val="1"/>
      <w:marLeft w:val="0"/>
      <w:marRight w:val="0"/>
      <w:marTop w:val="0"/>
      <w:marBottom w:val="0"/>
      <w:divBdr>
        <w:top w:val="none" w:sz="0" w:space="0" w:color="auto"/>
        <w:left w:val="none" w:sz="0" w:space="0" w:color="auto"/>
        <w:bottom w:val="none" w:sz="0" w:space="0" w:color="auto"/>
        <w:right w:val="none" w:sz="0" w:space="0" w:color="auto"/>
      </w:divBdr>
    </w:div>
    <w:div w:id="2016881404">
      <w:bodyDiv w:val="1"/>
      <w:marLeft w:val="0"/>
      <w:marRight w:val="0"/>
      <w:marTop w:val="0"/>
      <w:marBottom w:val="0"/>
      <w:divBdr>
        <w:top w:val="none" w:sz="0" w:space="0" w:color="auto"/>
        <w:left w:val="none" w:sz="0" w:space="0" w:color="auto"/>
        <w:bottom w:val="none" w:sz="0" w:space="0" w:color="auto"/>
        <w:right w:val="none" w:sz="0" w:space="0" w:color="auto"/>
      </w:divBdr>
    </w:div>
    <w:div w:id="2025395279">
      <w:bodyDiv w:val="1"/>
      <w:marLeft w:val="0"/>
      <w:marRight w:val="0"/>
      <w:marTop w:val="0"/>
      <w:marBottom w:val="0"/>
      <w:divBdr>
        <w:top w:val="none" w:sz="0" w:space="0" w:color="auto"/>
        <w:left w:val="none" w:sz="0" w:space="0" w:color="auto"/>
        <w:bottom w:val="none" w:sz="0" w:space="0" w:color="auto"/>
        <w:right w:val="none" w:sz="0" w:space="0" w:color="auto"/>
      </w:divBdr>
    </w:div>
    <w:div w:id="2029943949">
      <w:bodyDiv w:val="1"/>
      <w:marLeft w:val="0"/>
      <w:marRight w:val="0"/>
      <w:marTop w:val="0"/>
      <w:marBottom w:val="0"/>
      <w:divBdr>
        <w:top w:val="none" w:sz="0" w:space="0" w:color="auto"/>
        <w:left w:val="none" w:sz="0" w:space="0" w:color="auto"/>
        <w:bottom w:val="none" w:sz="0" w:space="0" w:color="auto"/>
        <w:right w:val="none" w:sz="0" w:space="0" w:color="auto"/>
      </w:divBdr>
    </w:div>
    <w:div w:id="2036885296">
      <w:bodyDiv w:val="1"/>
      <w:marLeft w:val="0"/>
      <w:marRight w:val="0"/>
      <w:marTop w:val="0"/>
      <w:marBottom w:val="0"/>
      <w:divBdr>
        <w:top w:val="none" w:sz="0" w:space="0" w:color="auto"/>
        <w:left w:val="none" w:sz="0" w:space="0" w:color="auto"/>
        <w:bottom w:val="none" w:sz="0" w:space="0" w:color="auto"/>
        <w:right w:val="none" w:sz="0" w:space="0" w:color="auto"/>
      </w:divBdr>
    </w:div>
    <w:div w:id="2038040500">
      <w:bodyDiv w:val="1"/>
      <w:marLeft w:val="0"/>
      <w:marRight w:val="0"/>
      <w:marTop w:val="0"/>
      <w:marBottom w:val="0"/>
      <w:divBdr>
        <w:top w:val="none" w:sz="0" w:space="0" w:color="auto"/>
        <w:left w:val="none" w:sz="0" w:space="0" w:color="auto"/>
        <w:bottom w:val="none" w:sz="0" w:space="0" w:color="auto"/>
        <w:right w:val="none" w:sz="0" w:space="0" w:color="auto"/>
      </w:divBdr>
    </w:div>
    <w:div w:id="2040352571">
      <w:bodyDiv w:val="1"/>
      <w:marLeft w:val="0"/>
      <w:marRight w:val="0"/>
      <w:marTop w:val="0"/>
      <w:marBottom w:val="0"/>
      <w:divBdr>
        <w:top w:val="none" w:sz="0" w:space="0" w:color="auto"/>
        <w:left w:val="none" w:sz="0" w:space="0" w:color="auto"/>
        <w:bottom w:val="none" w:sz="0" w:space="0" w:color="auto"/>
        <w:right w:val="none" w:sz="0" w:space="0" w:color="auto"/>
      </w:divBdr>
    </w:div>
    <w:div w:id="2047023294">
      <w:bodyDiv w:val="1"/>
      <w:marLeft w:val="0"/>
      <w:marRight w:val="0"/>
      <w:marTop w:val="0"/>
      <w:marBottom w:val="0"/>
      <w:divBdr>
        <w:top w:val="none" w:sz="0" w:space="0" w:color="auto"/>
        <w:left w:val="none" w:sz="0" w:space="0" w:color="auto"/>
        <w:bottom w:val="none" w:sz="0" w:space="0" w:color="auto"/>
        <w:right w:val="none" w:sz="0" w:space="0" w:color="auto"/>
      </w:divBdr>
    </w:div>
    <w:div w:id="2059428482">
      <w:bodyDiv w:val="1"/>
      <w:marLeft w:val="0"/>
      <w:marRight w:val="0"/>
      <w:marTop w:val="0"/>
      <w:marBottom w:val="0"/>
      <w:divBdr>
        <w:top w:val="none" w:sz="0" w:space="0" w:color="auto"/>
        <w:left w:val="none" w:sz="0" w:space="0" w:color="auto"/>
        <w:bottom w:val="none" w:sz="0" w:space="0" w:color="auto"/>
        <w:right w:val="none" w:sz="0" w:space="0" w:color="auto"/>
      </w:divBdr>
    </w:div>
    <w:div w:id="2064518980">
      <w:bodyDiv w:val="1"/>
      <w:marLeft w:val="0"/>
      <w:marRight w:val="0"/>
      <w:marTop w:val="0"/>
      <w:marBottom w:val="0"/>
      <w:divBdr>
        <w:top w:val="none" w:sz="0" w:space="0" w:color="auto"/>
        <w:left w:val="none" w:sz="0" w:space="0" w:color="auto"/>
        <w:bottom w:val="none" w:sz="0" w:space="0" w:color="auto"/>
        <w:right w:val="none" w:sz="0" w:space="0" w:color="auto"/>
      </w:divBdr>
    </w:div>
    <w:div w:id="2072649554">
      <w:bodyDiv w:val="1"/>
      <w:marLeft w:val="0"/>
      <w:marRight w:val="0"/>
      <w:marTop w:val="0"/>
      <w:marBottom w:val="0"/>
      <w:divBdr>
        <w:top w:val="none" w:sz="0" w:space="0" w:color="auto"/>
        <w:left w:val="none" w:sz="0" w:space="0" w:color="auto"/>
        <w:bottom w:val="none" w:sz="0" w:space="0" w:color="auto"/>
        <w:right w:val="none" w:sz="0" w:space="0" w:color="auto"/>
      </w:divBdr>
    </w:div>
    <w:div w:id="2072802331">
      <w:bodyDiv w:val="1"/>
      <w:marLeft w:val="0"/>
      <w:marRight w:val="0"/>
      <w:marTop w:val="0"/>
      <w:marBottom w:val="0"/>
      <w:divBdr>
        <w:top w:val="none" w:sz="0" w:space="0" w:color="auto"/>
        <w:left w:val="none" w:sz="0" w:space="0" w:color="auto"/>
        <w:bottom w:val="none" w:sz="0" w:space="0" w:color="auto"/>
        <w:right w:val="none" w:sz="0" w:space="0" w:color="auto"/>
      </w:divBdr>
    </w:div>
    <w:div w:id="2073699112">
      <w:bodyDiv w:val="1"/>
      <w:marLeft w:val="0"/>
      <w:marRight w:val="0"/>
      <w:marTop w:val="0"/>
      <w:marBottom w:val="0"/>
      <w:divBdr>
        <w:top w:val="none" w:sz="0" w:space="0" w:color="auto"/>
        <w:left w:val="none" w:sz="0" w:space="0" w:color="auto"/>
        <w:bottom w:val="none" w:sz="0" w:space="0" w:color="auto"/>
        <w:right w:val="none" w:sz="0" w:space="0" w:color="auto"/>
      </w:divBdr>
      <w:divsChild>
        <w:div w:id="282611393">
          <w:marLeft w:val="0"/>
          <w:marRight w:val="0"/>
          <w:marTop w:val="0"/>
          <w:marBottom w:val="0"/>
          <w:divBdr>
            <w:top w:val="none" w:sz="0" w:space="0" w:color="auto"/>
            <w:left w:val="none" w:sz="0" w:space="0" w:color="auto"/>
            <w:bottom w:val="none" w:sz="0" w:space="0" w:color="auto"/>
            <w:right w:val="none" w:sz="0" w:space="0" w:color="auto"/>
          </w:divBdr>
        </w:div>
        <w:div w:id="521431023">
          <w:marLeft w:val="0"/>
          <w:marRight w:val="0"/>
          <w:marTop w:val="0"/>
          <w:marBottom w:val="0"/>
          <w:divBdr>
            <w:top w:val="none" w:sz="0" w:space="0" w:color="auto"/>
            <w:left w:val="none" w:sz="0" w:space="0" w:color="auto"/>
            <w:bottom w:val="none" w:sz="0" w:space="0" w:color="auto"/>
            <w:right w:val="none" w:sz="0" w:space="0" w:color="auto"/>
          </w:divBdr>
        </w:div>
        <w:div w:id="576211749">
          <w:marLeft w:val="0"/>
          <w:marRight w:val="0"/>
          <w:marTop w:val="0"/>
          <w:marBottom w:val="0"/>
          <w:divBdr>
            <w:top w:val="none" w:sz="0" w:space="0" w:color="auto"/>
            <w:left w:val="none" w:sz="0" w:space="0" w:color="auto"/>
            <w:bottom w:val="none" w:sz="0" w:space="0" w:color="auto"/>
            <w:right w:val="none" w:sz="0" w:space="0" w:color="auto"/>
          </w:divBdr>
        </w:div>
        <w:div w:id="665984423">
          <w:marLeft w:val="0"/>
          <w:marRight w:val="0"/>
          <w:marTop w:val="0"/>
          <w:marBottom w:val="0"/>
          <w:divBdr>
            <w:top w:val="none" w:sz="0" w:space="0" w:color="auto"/>
            <w:left w:val="none" w:sz="0" w:space="0" w:color="auto"/>
            <w:bottom w:val="none" w:sz="0" w:space="0" w:color="auto"/>
            <w:right w:val="none" w:sz="0" w:space="0" w:color="auto"/>
          </w:divBdr>
        </w:div>
        <w:div w:id="992831907">
          <w:marLeft w:val="0"/>
          <w:marRight w:val="0"/>
          <w:marTop w:val="0"/>
          <w:marBottom w:val="0"/>
          <w:divBdr>
            <w:top w:val="none" w:sz="0" w:space="0" w:color="auto"/>
            <w:left w:val="none" w:sz="0" w:space="0" w:color="auto"/>
            <w:bottom w:val="none" w:sz="0" w:space="0" w:color="auto"/>
            <w:right w:val="none" w:sz="0" w:space="0" w:color="auto"/>
          </w:divBdr>
        </w:div>
        <w:div w:id="1302925961">
          <w:marLeft w:val="0"/>
          <w:marRight w:val="0"/>
          <w:marTop w:val="0"/>
          <w:marBottom w:val="0"/>
          <w:divBdr>
            <w:top w:val="none" w:sz="0" w:space="0" w:color="auto"/>
            <w:left w:val="none" w:sz="0" w:space="0" w:color="auto"/>
            <w:bottom w:val="none" w:sz="0" w:space="0" w:color="auto"/>
            <w:right w:val="none" w:sz="0" w:space="0" w:color="auto"/>
          </w:divBdr>
        </w:div>
        <w:div w:id="1658069786">
          <w:marLeft w:val="0"/>
          <w:marRight w:val="0"/>
          <w:marTop w:val="0"/>
          <w:marBottom w:val="0"/>
          <w:divBdr>
            <w:top w:val="none" w:sz="0" w:space="0" w:color="auto"/>
            <w:left w:val="none" w:sz="0" w:space="0" w:color="auto"/>
            <w:bottom w:val="none" w:sz="0" w:space="0" w:color="auto"/>
            <w:right w:val="none" w:sz="0" w:space="0" w:color="auto"/>
          </w:divBdr>
        </w:div>
        <w:div w:id="1768848906">
          <w:marLeft w:val="0"/>
          <w:marRight w:val="0"/>
          <w:marTop w:val="0"/>
          <w:marBottom w:val="0"/>
          <w:divBdr>
            <w:top w:val="none" w:sz="0" w:space="0" w:color="auto"/>
            <w:left w:val="none" w:sz="0" w:space="0" w:color="auto"/>
            <w:bottom w:val="none" w:sz="0" w:space="0" w:color="auto"/>
            <w:right w:val="none" w:sz="0" w:space="0" w:color="auto"/>
          </w:divBdr>
        </w:div>
        <w:div w:id="1881742591">
          <w:marLeft w:val="0"/>
          <w:marRight w:val="0"/>
          <w:marTop w:val="0"/>
          <w:marBottom w:val="0"/>
          <w:divBdr>
            <w:top w:val="none" w:sz="0" w:space="0" w:color="auto"/>
            <w:left w:val="none" w:sz="0" w:space="0" w:color="auto"/>
            <w:bottom w:val="none" w:sz="0" w:space="0" w:color="auto"/>
            <w:right w:val="none" w:sz="0" w:space="0" w:color="auto"/>
          </w:divBdr>
        </w:div>
        <w:div w:id="1920628266">
          <w:marLeft w:val="0"/>
          <w:marRight w:val="0"/>
          <w:marTop w:val="0"/>
          <w:marBottom w:val="0"/>
          <w:divBdr>
            <w:top w:val="none" w:sz="0" w:space="0" w:color="auto"/>
            <w:left w:val="none" w:sz="0" w:space="0" w:color="auto"/>
            <w:bottom w:val="none" w:sz="0" w:space="0" w:color="auto"/>
            <w:right w:val="none" w:sz="0" w:space="0" w:color="auto"/>
          </w:divBdr>
        </w:div>
      </w:divsChild>
    </w:div>
    <w:div w:id="2077782296">
      <w:bodyDiv w:val="1"/>
      <w:marLeft w:val="0"/>
      <w:marRight w:val="0"/>
      <w:marTop w:val="0"/>
      <w:marBottom w:val="0"/>
      <w:divBdr>
        <w:top w:val="none" w:sz="0" w:space="0" w:color="auto"/>
        <w:left w:val="none" w:sz="0" w:space="0" w:color="auto"/>
        <w:bottom w:val="none" w:sz="0" w:space="0" w:color="auto"/>
        <w:right w:val="none" w:sz="0" w:space="0" w:color="auto"/>
      </w:divBdr>
    </w:div>
    <w:div w:id="2081170332">
      <w:bodyDiv w:val="1"/>
      <w:marLeft w:val="0"/>
      <w:marRight w:val="0"/>
      <w:marTop w:val="0"/>
      <w:marBottom w:val="0"/>
      <w:divBdr>
        <w:top w:val="none" w:sz="0" w:space="0" w:color="auto"/>
        <w:left w:val="none" w:sz="0" w:space="0" w:color="auto"/>
        <w:bottom w:val="none" w:sz="0" w:space="0" w:color="auto"/>
        <w:right w:val="none" w:sz="0" w:space="0" w:color="auto"/>
      </w:divBdr>
    </w:div>
    <w:div w:id="2081514090">
      <w:bodyDiv w:val="1"/>
      <w:marLeft w:val="0"/>
      <w:marRight w:val="0"/>
      <w:marTop w:val="0"/>
      <w:marBottom w:val="0"/>
      <w:divBdr>
        <w:top w:val="none" w:sz="0" w:space="0" w:color="auto"/>
        <w:left w:val="none" w:sz="0" w:space="0" w:color="auto"/>
        <w:bottom w:val="none" w:sz="0" w:space="0" w:color="auto"/>
        <w:right w:val="none" w:sz="0" w:space="0" w:color="auto"/>
      </w:divBdr>
    </w:div>
    <w:div w:id="2085711945">
      <w:bodyDiv w:val="1"/>
      <w:marLeft w:val="0"/>
      <w:marRight w:val="0"/>
      <w:marTop w:val="0"/>
      <w:marBottom w:val="0"/>
      <w:divBdr>
        <w:top w:val="none" w:sz="0" w:space="0" w:color="auto"/>
        <w:left w:val="none" w:sz="0" w:space="0" w:color="auto"/>
        <w:bottom w:val="none" w:sz="0" w:space="0" w:color="auto"/>
        <w:right w:val="none" w:sz="0" w:space="0" w:color="auto"/>
      </w:divBdr>
    </w:div>
    <w:div w:id="2087729443">
      <w:bodyDiv w:val="1"/>
      <w:marLeft w:val="0"/>
      <w:marRight w:val="0"/>
      <w:marTop w:val="0"/>
      <w:marBottom w:val="0"/>
      <w:divBdr>
        <w:top w:val="none" w:sz="0" w:space="0" w:color="auto"/>
        <w:left w:val="none" w:sz="0" w:space="0" w:color="auto"/>
        <w:bottom w:val="none" w:sz="0" w:space="0" w:color="auto"/>
        <w:right w:val="none" w:sz="0" w:space="0" w:color="auto"/>
      </w:divBdr>
    </w:div>
    <w:div w:id="2101216476">
      <w:bodyDiv w:val="1"/>
      <w:marLeft w:val="0"/>
      <w:marRight w:val="0"/>
      <w:marTop w:val="0"/>
      <w:marBottom w:val="0"/>
      <w:divBdr>
        <w:top w:val="none" w:sz="0" w:space="0" w:color="auto"/>
        <w:left w:val="none" w:sz="0" w:space="0" w:color="auto"/>
        <w:bottom w:val="none" w:sz="0" w:space="0" w:color="auto"/>
        <w:right w:val="none" w:sz="0" w:space="0" w:color="auto"/>
      </w:divBdr>
    </w:div>
    <w:div w:id="2106723327">
      <w:bodyDiv w:val="1"/>
      <w:marLeft w:val="0"/>
      <w:marRight w:val="0"/>
      <w:marTop w:val="0"/>
      <w:marBottom w:val="0"/>
      <w:divBdr>
        <w:top w:val="none" w:sz="0" w:space="0" w:color="auto"/>
        <w:left w:val="none" w:sz="0" w:space="0" w:color="auto"/>
        <w:bottom w:val="none" w:sz="0" w:space="0" w:color="auto"/>
        <w:right w:val="none" w:sz="0" w:space="0" w:color="auto"/>
      </w:divBdr>
      <w:divsChild>
        <w:div w:id="2129816063">
          <w:marLeft w:val="0"/>
          <w:marRight w:val="0"/>
          <w:marTop w:val="0"/>
          <w:marBottom w:val="0"/>
          <w:divBdr>
            <w:top w:val="none" w:sz="0" w:space="0" w:color="auto"/>
            <w:left w:val="none" w:sz="0" w:space="0" w:color="auto"/>
            <w:bottom w:val="none" w:sz="0" w:space="0" w:color="auto"/>
            <w:right w:val="none" w:sz="0" w:space="0" w:color="auto"/>
          </w:divBdr>
          <w:divsChild>
            <w:div w:id="246773104">
              <w:marLeft w:val="0"/>
              <w:marRight w:val="0"/>
              <w:marTop w:val="0"/>
              <w:marBottom w:val="0"/>
              <w:divBdr>
                <w:top w:val="none" w:sz="0" w:space="0" w:color="auto"/>
                <w:left w:val="none" w:sz="0" w:space="0" w:color="auto"/>
                <w:bottom w:val="none" w:sz="0" w:space="0" w:color="auto"/>
                <w:right w:val="none" w:sz="0" w:space="0" w:color="auto"/>
              </w:divBdr>
              <w:divsChild>
                <w:div w:id="627594026">
                  <w:marLeft w:val="0"/>
                  <w:marRight w:val="0"/>
                  <w:marTop w:val="0"/>
                  <w:marBottom w:val="0"/>
                  <w:divBdr>
                    <w:top w:val="none" w:sz="0" w:space="0" w:color="auto"/>
                    <w:left w:val="none" w:sz="0" w:space="0" w:color="auto"/>
                    <w:bottom w:val="none" w:sz="0" w:space="0" w:color="auto"/>
                    <w:right w:val="none" w:sz="0" w:space="0" w:color="auto"/>
                  </w:divBdr>
                  <w:divsChild>
                    <w:div w:id="1136222316">
                      <w:marLeft w:val="0"/>
                      <w:marRight w:val="0"/>
                      <w:marTop w:val="0"/>
                      <w:marBottom w:val="0"/>
                      <w:divBdr>
                        <w:top w:val="none" w:sz="0" w:space="0" w:color="auto"/>
                        <w:left w:val="none" w:sz="0" w:space="0" w:color="auto"/>
                        <w:bottom w:val="none" w:sz="0" w:space="0" w:color="auto"/>
                        <w:right w:val="none" w:sz="0" w:space="0" w:color="auto"/>
                      </w:divBdr>
                      <w:divsChild>
                        <w:div w:id="1556820644">
                          <w:marLeft w:val="405"/>
                          <w:marRight w:val="0"/>
                          <w:marTop w:val="0"/>
                          <w:marBottom w:val="0"/>
                          <w:divBdr>
                            <w:top w:val="none" w:sz="0" w:space="0" w:color="auto"/>
                            <w:left w:val="none" w:sz="0" w:space="0" w:color="auto"/>
                            <w:bottom w:val="none" w:sz="0" w:space="0" w:color="auto"/>
                            <w:right w:val="none" w:sz="0" w:space="0" w:color="auto"/>
                          </w:divBdr>
                          <w:divsChild>
                            <w:div w:id="608663800">
                              <w:marLeft w:val="0"/>
                              <w:marRight w:val="0"/>
                              <w:marTop w:val="0"/>
                              <w:marBottom w:val="0"/>
                              <w:divBdr>
                                <w:top w:val="none" w:sz="0" w:space="0" w:color="auto"/>
                                <w:left w:val="none" w:sz="0" w:space="0" w:color="auto"/>
                                <w:bottom w:val="none" w:sz="0" w:space="0" w:color="auto"/>
                                <w:right w:val="none" w:sz="0" w:space="0" w:color="auto"/>
                              </w:divBdr>
                              <w:divsChild>
                                <w:div w:id="728311571">
                                  <w:marLeft w:val="0"/>
                                  <w:marRight w:val="0"/>
                                  <w:marTop w:val="0"/>
                                  <w:marBottom w:val="0"/>
                                  <w:divBdr>
                                    <w:top w:val="none" w:sz="0" w:space="0" w:color="auto"/>
                                    <w:left w:val="none" w:sz="0" w:space="0" w:color="auto"/>
                                    <w:bottom w:val="none" w:sz="0" w:space="0" w:color="auto"/>
                                    <w:right w:val="none" w:sz="0" w:space="0" w:color="auto"/>
                                  </w:divBdr>
                                  <w:divsChild>
                                    <w:div w:id="324629573">
                                      <w:marLeft w:val="0"/>
                                      <w:marRight w:val="0"/>
                                      <w:marTop w:val="60"/>
                                      <w:marBottom w:val="0"/>
                                      <w:divBdr>
                                        <w:top w:val="none" w:sz="0" w:space="0" w:color="auto"/>
                                        <w:left w:val="none" w:sz="0" w:space="0" w:color="auto"/>
                                        <w:bottom w:val="none" w:sz="0" w:space="0" w:color="auto"/>
                                        <w:right w:val="none" w:sz="0" w:space="0" w:color="auto"/>
                                      </w:divBdr>
                                      <w:divsChild>
                                        <w:div w:id="663901427">
                                          <w:marLeft w:val="0"/>
                                          <w:marRight w:val="0"/>
                                          <w:marTop w:val="0"/>
                                          <w:marBottom w:val="0"/>
                                          <w:divBdr>
                                            <w:top w:val="none" w:sz="0" w:space="0" w:color="auto"/>
                                            <w:left w:val="none" w:sz="0" w:space="0" w:color="auto"/>
                                            <w:bottom w:val="none" w:sz="0" w:space="0" w:color="auto"/>
                                            <w:right w:val="none" w:sz="0" w:space="0" w:color="auto"/>
                                          </w:divBdr>
                                          <w:divsChild>
                                            <w:div w:id="1548645121">
                                              <w:marLeft w:val="0"/>
                                              <w:marRight w:val="0"/>
                                              <w:marTop w:val="0"/>
                                              <w:marBottom w:val="0"/>
                                              <w:divBdr>
                                                <w:top w:val="none" w:sz="0" w:space="0" w:color="auto"/>
                                                <w:left w:val="none" w:sz="0" w:space="0" w:color="auto"/>
                                                <w:bottom w:val="none" w:sz="0" w:space="0" w:color="auto"/>
                                                <w:right w:val="none" w:sz="0" w:space="0" w:color="auto"/>
                                              </w:divBdr>
                                              <w:divsChild>
                                                <w:div w:id="1839466212">
                                                  <w:marLeft w:val="0"/>
                                                  <w:marRight w:val="0"/>
                                                  <w:marTop w:val="0"/>
                                                  <w:marBottom w:val="0"/>
                                                  <w:divBdr>
                                                    <w:top w:val="none" w:sz="0" w:space="0" w:color="auto"/>
                                                    <w:left w:val="none" w:sz="0" w:space="0" w:color="auto"/>
                                                    <w:bottom w:val="none" w:sz="0" w:space="0" w:color="auto"/>
                                                    <w:right w:val="none" w:sz="0" w:space="0" w:color="auto"/>
                                                  </w:divBdr>
                                                  <w:divsChild>
                                                    <w:div w:id="324935398">
                                                      <w:marLeft w:val="0"/>
                                                      <w:marRight w:val="0"/>
                                                      <w:marTop w:val="0"/>
                                                      <w:marBottom w:val="0"/>
                                                      <w:divBdr>
                                                        <w:top w:val="none" w:sz="0" w:space="0" w:color="auto"/>
                                                        <w:left w:val="none" w:sz="0" w:space="0" w:color="auto"/>
                                                        <w:bottom w:val="none" w:sz="0" w:space="0" w:color="auto"/>
                                                        <w:right w:val="none" w:sz="0" w:space="0" w:color="auto"/>
                                                      </w:divBdr>
                                                      <w:divsChild>
                                                        <w:div w:id="1255090743">
                                                          <w:marLeft w:val="0"/>
                                                          <w:marRight w:val="0"/>
                                                          <w:marTop w:val="0"/>
                                                          <w:marBottom w:val="0"/>
                                                          <w:divBdr>
                                                            <w:top w:val="none" w:sz="0" w:space="0" w:color="auto"/>
                                                            <w:left w:val="none" w:sz="0" w:space="0" w:color="auto"/>
                                                            <w:bottom w:val="none" w:sz="0" w:space="0" w:color="auto"/>
                                                            <w:right w:val="none" w:sz="0" w:space="0" w:color="auto"/>
                                                          </w:divBdr>
                                                          <w:divsChild>
                                                            <w:div w:id="1759323124">
                                                              <w:marLeft w:val="0"/>
                                                              <w:marRight w:val="0"/>
                                                              <w:marTop w:val="0"/>
                                                              <w:marBottom w:val="0"/>
                                                              <w:divBdr>
                                                                <w:top w:val="none" w:sz="0" w:space="0" w:color="auto"/>
                                                                <w:left w:val="none" w:sz="0" w:space="0" w:color="auto"/>
                                                                <w:bottom w:val="none" w:sz="0" w:space="0" w:color="auto"/>
                                                                <w:right w:val="none" w:sz="0" w:space="0" w:color="auto"/>
                                                              </w:divBdr>
                                                              <w:divsChild>
                                                                <w:div w:id="169418824">
                                                                  <w:marLeft w:val="0"/>
                                                                  <w:marRight w:val="0"/>
                                                                  <w:marTop w:val="0"/>
                                                                  <w:marBottom w:val="0"/>
                                                                  <w:divBdr>
                                                                    <w:top w:val="none" w:sz="0" w:space="0" w:color="auto"/>
                                                                    <w:left w:val="none" w:sz="0" w:space="0" w:color="auto"/>
                                                                    <w:bottom w:val="none" w:sz="0" w:space="0" w:color="auto"/>
                                                                    <w:right w:val="none" w:sz="0" w:space="0" w:color="auto"/>
                                                                  </w:divBdr>
                                                                  <w:divsChild>
                                                                    <w:div w:id="10594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207021">
      <w:bodyDiv w:val="1"/>
      <w:marLeft w:val="0"/>
      <w:marRight w:val="0"/>
      <w:marTop w:val="0"/>
      <w:marBottom w:val="0"/>
      <w:divBdr>
        <w:top w:val="none" w:sz="0" w:space="0" w:color="auto"/>
        <w:left w:val="none" w:sz="0" w:space="0" w:color="auto"/>
        <w:bottom w:val="none" w:sz="0" w:space="0" w:color="auto"/>
        <w:right w:val="none" w:sz="0" w:space="0" w:color="auto"/>
      </w:divBdr>
    </w:div>
    <w:div w:id="2122602778">
      <w:bodyDiv w:val="1"/>
      <w:marLeft w:val="0"/>
      <w:marRight w:val="0"/>
      <w:marTop w:val="0"/>
      <w:marBottom w:val="0"/>
      <w:divBdr>
        <w:top w:val="none" w:sz="0" w:space="0" w:color="auto"/>
        <w:left w:val="none" w:sz="0" w:space="0" w:color="auto"/>
        <w:bottom w:val="none" w:sz="0" w:space="0" w:color="auto"/>
        <w:right w:val="none" w:sz="0" w:space="0" w:color="auto"/>
      </w:divBdr>
    </w:div>
    <w:div w:id="2124231399">
      <w:bodyDiv w:val="1"/>
      <w:marLeft w:val="0"/>
      <w:marRight w:val="0"/>
      <w:marTop w:val="0"/>
      <w:marBottom w:val="0"/>
      <w:divBdr>
        <w:top w:val="none" w:sz="0" w:space="0" w:color="auto"/>
        <w:left w:val="none" w:sz="0" w:space="0" w:color="auto"/>
        <w:bottom w:val="none" w:sz="0" w:space="0" w:color="auto"/>
        <w:right w:val="none" w:sz="0" w:space="0" w:color="auto"/>
      </w:divBdr>
    </w:div>
    <w:div w:id="2126775898">
      <w:bodyDiv w:val="1"/>
      <w:marLeft w:val="0"/>
      <w:marRight w:val="0"/>
      <w:marTop w:val="0"/>
      <w:marBottom w:val="0"/>
      <w:divBdr>
        <w:top w:val="none" w:sz="0" w:space="0" w:color="auto"/>
        <w:left w:val="none" w:sz="0" w:space="0" w:color="auto"/>
        <w:bottom w:val="none" w:sz="0" w:space="0" w:color="auto"/>
        <w:right w:val="none" w:sz="0" w:space="0" w:color="auto"/>
      </w:divBdr>
    </w:div>
    <w:div w:id="2128812998">
      <w:bodyDiv w:val="1"/>
      <w:marLeft w:val="0"/>
      <w:marRight w:val="0"/>
      <w:marTop w:val="0"/>
      <w:marBottom w:val="0"/>
      <w:divBdr>
        <w:top w:val="none" w:sz="0" w:space="0" w:color="auto"/>
        <w:left w:val="none" w:sz="0" w:space="0" w:color="auto"/>
        <w:bottom w:val="none" w:sz="0" w:space="0" w:color="auto"/>
        <w:right w:val="none" w:sz="0" w:space="0" w:color="auto"/>
      </w:divBdr>
    </w:div>
    <w:div w:id="2132236398">
      <w:bodyDiv w:val="1"/>
      <w:marLeft w:val="0"/>
      <w:marRight w:val="0"/>
      <w:marTop w:val="0"/>
      <w:marBottom w:val="0"/>
      <w:divBdr>
        <w:top w:val="none" w:sz="0" w:space="0" w:color="auto"/>
        <w:left w:val="none" w:sz="0" w:space="0" w:color="auto"/>
        <w:bottom w:val="none" w:sz="0" w:space="0" w:color="auto"/>
        <w:right w:val="none" w:sz="0" w:space="0" w:color="auto"/>
      </w:divBdr>
    </w:div>
    <w:div w:id="2133354257">
      <w:bodyDiv w:val="1"/>
      <w:marLeft w:val="0"/>
      <w:marRight w:val="0"/>
      <w:marTop w:val="0"/>
      <w:marBottom w:val="0"/>
      <w:divBdr>
        <w:top w:val="none" w:sz="0" w:space="0" w:color="auto"/>
        <w:left w:val="none" w:sz="0" w:space="0" w:color="auto"/>
        <w:bottom w:val="none" w:sz="0" w:space="0" w:color="auto"/>
        <w:right w:val="none" w:sz="0" w:space="0" w:color="auto"/>
      </w:divBdr>
    </w:div>
    <w:div w:id="2133472560">
      <w:bodyDiv w:val="1"/>
      <w:marLeft w:val="0"/>
      <w:marRight w:val="0"/>
      <w:marTop w:val="0"/>
      <w:marBottom w:val="0"/>
      <w:divBdr>
        <w:top w:val="none" w:sz="0" w:space="0" w:color="auto"/>
        <w:left w:val="none" w:sz="0" w:space="0" w:color="auto"/>
        <w:bottom w:val="none" w:sz="0" w:space="0" w:color="auto"/>
        <w:right w:val="none" w:sz="0" w:space="0" w:color="auto"/>
      </w:divBdr>
    </w:div>
    <w:div w:id="2142259221">
      <w:bodyDiv w:val="1"/>
      <w:marLeft w:val="0"/>
      <w:marRight w:val="0"/>
      <w:marTop w:val="0"/>
      <w:marBottom w:val="0"/>
      <w:divBdr>
        <w:top w:val="none" w:sz="0" w:space="0" w:color="auto"/>
        <w:left w:val="none" w:sz="0" w:space="0" w:color="auto"/>
        <w:bottom w:val="none" w:sz="0" w:space="0" w:color="auto"/>
        <w:right w:val="none" w:sz="0" w:space="0" w:color="auto"/>
      </w:divBdr>
    </w:div>
    <w:div w:id="21449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735C-B042-4C30-BBD2-467C0C97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43</Pages>
  <Words>17860</Words>
  <Characters>107315</Characters>
  <Application>Microsoft Office Word</Application>
  <DocSecurity>0</DocSecurity>
  <Lines>894</Lines>
  <Paragraphs>249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BILJEŠKE UZ FINANCIJSKE IZVJEŠTAJE</vt:lpstr>
      <vt:lpstr>BILJEŠKE UZ FINANCIJSKE IZVJEŠTAJE</vt:lpstr>
    </vt:vector>
  </TitlesOfParts>
  <Company>SDR</Company>
  <LinksUpToDate>false</LinksUpToDate>
  <CharactersWithSpaces>124926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BILJEŠKE UZ FINANCIJSKE IZVJEŠTAJE</dc:title>
  <dc:creator>mkaracic</dc:creator>
  <cp:lastModifiedBy>Martina Štefković</cp:lastModifiedBy>
  <cp:revision>120</cp:revision>
  <cp:lastPrinted>2022-03-10T13:40:00Z</cp:lastPrinted>
  <dcterms:created xsi:type="dcterms:W3CDTF">2021-03-16T13:37:00Z</dcterms:created>
  <dcterms:modified xsi:type="dcterms:W3CDTF">2022-03-14T07:44:00Z</dcterms:modified>
</cp:coreProperties>
</file>